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9EAD" w14:textId="77777777" w:rsidR="00D52C06" w:rsidRDefault="00D52C06" w:rsidP="008D1F31">
      <w:pPr>
        <w:pStyle w:val="NoSpacing"/>
        <w:jc w:val="center"/>
        <w:rPr>
          <w:b/>
          <w:bCs/>
          <w:sz w:val="36"/>
          <w:szCs w:val="36"/>
        </w:rPr>
      </w:pPr>
    </w:p>
    <w:p w14:paraId="3FD4AA34" w14:textId="026D006A" w:rsidR="00B25ACF" w:rsidRDefault="00F4791B" w:rsidP="008D1F31">
      <w:pPr>
        <w:pStyle w:val="NoSpacing"/>
        <w:jc w:val="center"/>
        <w:rPr>
          <w:b/>
          <w:bCs/>
          <w:sz w:val="36"/>
          <w:szCs w:val="36"/>
        </w:rPr>
      </w:pPr>
      <w:r>
        <w:rPr>
          <w:rFonts w:hint="eastAsia"/>
          <w:b/>
          <w:bCs/>
          <w:sz w:val="36"/>
          <w:szCs w:val="36"/>
        </w:rPr>
        <w:t xml:space="preserve">Citizens </w:t>
      </w:r>
      <w:r>
        <w:rPr>
          <w:rFonts w:hint="eastAsia"/>
          <w:b/>
          <w:bCs/>
          <w:sz w:val="36"/>
          <w:szCs w:val="36"/>
        </w:rPr>
        <w:t>公司</w:t>
      </w:r>
      <w:r>
        <w:rPr>
          <w:rFonts w:hint="eastAsia"/>
          <w:b/>
          <w:bCs/>
          <w:sz w:val="36"/>
          <w:szCs w:val="36"/>
        </w:rPr>
        <w:t xml:space="preserve"> 2022 </w:t>
      </w:r>
      <w:r>
        <w:rPr>
          <w:rFonts w:hint="eastAsia"/>
          <w:b/>
          <w:bCs/>
          <w:sz w:val="36"/>
          <w:szCs w:val="36"/>
        </w:rPr>
        <w:t>年第四季度和全年財務業績報告</w:t>
      </w:r>
    </w:p>
    <w:p w14:paraId="6481D160" w14:textId="55A685CB" w:rsidR="00D16C3F" w:rsidRDefault="00D16C3F" w:rsidP="00D16C3F">
      <w:pPr>
        <w:pStyle w:val="NoSpacing"/>
      </w:pPr>
    </w:p>
    <w:p w14:paraId="7067AA5D" w14:textId="77777777" w:rsidR="00D52C06" w:rsidRDefault="00D52C06" w:rsidP="00D16C3F">
      <w:pPr>
        <w:pStyle w:val="NoSpacing"/>
      </w:pPr>
    </w:p>
    <w:p w14:paraId="06C545A7" w14:textId="56505D84" w:rsidR="00243C7F" w:rsidRDefault="00F4791B" w:rsidP="00C82647">
      <w:pPr>
        <w:pStyle w:val="NoSpacing"/>
      </w:pPr>
      <w:r>
        <w:rPr>
          <w:rFonts w:hint="eastAsia"/>
          <w:b/>
          <w:bCs/>
        </w:rPr>
        <w:t>德克薩斯州奧斯汀市–</w:t>
      </w:r>
      <w:r>
        <w:rPr>
          <w:rFonts w:hint="eastAsia"/>
          <w:b/>
          <w:bCs/>
        </w:rPr>
        <w:t xml:space="preserve"> 2023</w:t>
      </w:r>
      <w:r>
        <w:rPr>
          <w:rFonts w:hint="eastAsia"/>
          <w:b/>
          <w:bCs/>
        </w:rPr>
        <w:t>年</w:t>
      </w:r>
      <w:r>
        <w:rPr>
          <w:rFonts w:hint="eastAsia"/>
          <w:b/>
          <w:bCs/>
        </w:rPr>
        <w:t>3</w:t>
      </w:r>
      <w:r>
        <w:rPr>
          <w:rFonts w:hint="eastAsia"/>
          <w:b/>
          <w:bCs/>
        </w:rPr>
        <w:t>月</w:t>
      </w:r>
      <w:r>
        <w:rPr>
          <w:rFonts w:hint="eastAsia"/>
          <w:b/>
          <w:bCs/>
        </w:rPr>
        <w:t>13</w:t>
      </w:r>
      <w:r>
        <w:rPr>
          <w:rFonts w:hint="eastAsia"/>
          <w:b/>
          <w:bCs/>
        </w:rPr>
        <w:t>日–</w:t>
      </w:r>
      <w:r>
        <w:rPr>
          <w:rFonts w:hint="eastAsia"/>
        </w:rPr>
        <w:t xml:space="preserve"> </w:t>
      </w:r>
      <w:hyperlink r:id="rId11" w:history="1">
        <w:r>
          <w:rPr>
            <w:rStyle w:val="Hyperlink"/>
            <w:rFonts w:hint="eastAsia"/>
          </w:rPr>
          <w:t xml:space="preserve">Citizens </w:t>
        </w:r>
        <w:r>
          <w:rPr>
            <w:rStyle w:val="Hyperlink"/>
            <w:rFonts w:hint="eastAsia"/>
          </w:rPr>
          <w:t>公司</w:t>
        </w:r>
      </w:hyperlink>
      <w:r>
        <w:rPr>
          <w:rFonts w:hint="eastAsia"/>
        </w:rPr>
        <w:t>（紐約證券交易所股票代碼：</w:t>
      </w:r>
      <w:r>
        <w:rPr>
          <w:rFonts w:hint="eastAsia"/>
        </w:rPr>
        <w:t>CIA)</w:t>
      </w:r>
      <w:r>
        <w:rPr>
          <w:rFonts w:hint="eastAsia"/>
        </w:rPr>
        <w:t>，今天公佈了截至</w:t>
      </w:r>
      <w:r>
        <w:rPr>
          <w:rFonts w:hint="eastAsia"/>
        </w:rPr>
        <w:t xml:space="preserve"> 2022 </w:t>
      </w:r>
      <w:r>
        <w:rPr>
          <w:rFonts w:hint="eastAsia"/>
        </w:rPr>
        <w:t>年</w:t>
      </w:r>
      <w:r>
        <w:rPr>
          <w:rFonts w:hint="eastAsia"/>
        </w:rPr>
        <w:t xml:space="preserve"> 12 </w:t>
      </w:r>
      <w:r>
        <w:rPr>
          <w:rFonts w:hint="eastAsia"/>
        </w:rPr>
        <w:t>月</w:t>
      </w:r>
      <w:r>
        <w:rPr>
          <w:rFonts w:hint="eastAsia"/>
        </w:rPr>
        <w:t xml:space="preserve"> 31 </w:t>
      </w:r>
      <w:r>
        <w:rPr>
          <w:rFonts w:hint="eastAsia"/>
        </w:rPr>
        <w:t>日的季度和年度財務業績報告。</w:t>
      </w:r>
    </w:p>
    <w:p w14:paraId="661A287C" w14:textId="77777777" w:rsidR="009D18B3" w:rsidRDefault="009D18B3" w:rsidP="00F4791B">
      <w:pPr>
        <w:pStyle w:val="NoSpacing"/>
      </w:pPr>
    </w:p>
    <w:p w14:paraId="697758CF" w14:textId="58F8EC4F" w:rsidR="003B6F95" w:rsidRPr="00886F31" w:rsidRDefault="003B6F95" w:rsidP="00F4791B">
      <w:pPr>
        <w:pStyle w:val="NoSpacing"/>
        <w:rPr>
          <w:b/>
          <w:bCs/>
        </w:rPr>
      </w:pPr>
      <w:r>
        <w:rPr>
          <w:rFonts w:hint="eastAsia"/>
          <w:b/>
          <w:bCs/>
        </w:rPr>
        <w:t>管理層評論</w:t>
      </w:r>
    </w:p>
    <w:p w14:paraId="1825BAB7" w14:textId="223C4F6A" w:rsidR="00D31C15" w:rsidRDefault="00D31C15" w:rsidP="008A749D">
      <w:pPr>
        <w:pStyle w:val="NoSpacing"/>
        <w:jc w:val="center"/>
        <w:rPr>
          <w:b/>
          <w:bCs/>
          <w:u w:val="single"/>
        </w:rPr>
      </w:pPr>
    </w:p>
    <w:p w14:paraId="1D9F82A7" w14:textId="56CA2E4A" w:rsidR="00171FD7" w:rsidRDefault="00A005E6" w:rsidP="003E211A">
      <w:pPr>
        <w:pStyle w:val="NoSpacing"/>
        <w:rPr>
          <w:b/>
          <w:bCs/>
          <w:u w:val="single"/>
        </w:rPr>
      </w:pPr>
      <w:r>
        <w:rPr>
          <w:rFonts w:hint="eastAsia"/>
        </w:rPr>
        <w:t>“總體來說，我對公司在實現長期戰略目標方面的表現感到滿意，”公司副董事長兼首席執行官</w:t>
      </w:r>
      <w:r>
        <w:rPr>
          <w:rFonts w:hint="eastAsia"/>
        </w:rPr>
        <w:t xml:space="preserve"> Gerald W. Shields </w:t>
      </w:r>
      <w:r>
        <w:rPr>
          <w:rFonts w:hint="eastAsia"/>
        </w:rPr>
        <w:t>說</w:t>
      </w:r>
      <w:r w:rsidR="00592F2B">
        <w:rPr>
          <w:rFonts w:hint="eastAsia"/>
        </w:rPr>
        <w:t>。</w:t>
      </w:r>
      <w:r w:rsidR="00592F2B">
        <w:rPr>
          <w:rFonts w:hint="eastAsia"/>
        </w:rPr>
        <w:t xml:space="preserve"> </w:t>
      </w:r>
      <w:r w:rsidR="00592F2B">
        <w:rPr>
          <w:rFonts w:hint="eastAsia"/>
        </w:rPr>
        <w:t>“</w:t>
      </w:r>
      <w:r>
        <w:rPr>
          <w:rFonts w:hint="eastAsia"/>
        </w:rPr>
        <w:t>儘管我們目睹了通貨膨脹和股市波動對整個行業的一些影響，但我們業務的基本面和可控因素仍在繼續加強和改善。這些改善是我們過去兩年採取行動的直接結果，即發行新產品、通過有針對性的銷售促銷和活動改善分銷，並提高保單保留率。新產品是我們成功的一個越來越重要的部分，並且在推動簽發保險的同比增長達到創紀錄水平方面發揮了重要作用；簽發保單數量連續三個季度增長。”</w:t>
      </w:r>
    </w:p>
    <w:p w14:paraId="360993E3" w14:textId="16E2BE2E" w:rsidR="00746AD4" w:rsidRDefault="00746AD4" w:rsidP="008A749D">
      <w:pPr>
        <w:pStyle w:val="NoSpacing"/>
        <w:jc w:val="center"/>
        <w:rPr>
          <w:b/>
          <w:bCs/>
          <w:u w:val="single"/>
        </w:rPr>
      </w:pPr>
    </w:p>
    <w:p w14:paraId="13A6AB4D" w14:textId="7C067279" w:rsidR="00D55038" w:rsidRDefault="00D55038" w:rsidP="008A749D">
      <w:pPr>
        <w:pStyle w:val="NoSpacing"/>
        <w:jc w:val="center"/>
        <w:rPr>
          <w:b/>
          <w:bCs/>
          <w:u w:val="single"/>
        </w:rPr>
      </w:pPr>
    </w:p>
    <w:p w14:paraId="57B6D975" w14:textId="77777777" w:rsidR="00D55038" w:rsidRPr="005D0B08" w:rsidRDefault="00D55038" w:rsidP="00D55038">
      <w:pPr>
        <w:pStyle w:val="NoSpacing"/>
        <w:jc w:val="center"/>
        <w:rPr>
          <w:b/>
          <w:bCs/>
          <w:u w:val="single"/>
        </w:rPr>
      </w:pPr>
      <w:r>
        <w:rPr>
          <w:rFonts w:hint="eastAsia"/>
          <w:b/>
          <w:bCs/>
          <w:u w:val="single"/>
        </w:rPr>
        <w:t xml:space="preserve">2022 </w:t>
      </w:r>
      <w:r>
        <w:rPr>
          <w:rFonts w:hint="eastAsia"/>
          <w:b/>
          <w:bCs/>
          <w:u w:val="single"/>
        </w:rPr>
        <w:t>年全年運營亮點</w:t>
      </w:r>
    </w:p>
    <w:p w14:paraId="1CC15458" w14:textId="77777777" w:rsidR="00D55038" w:rsidRDefault="00D55038" w:rsidP="00D55038">
      <w:pPr>
        <w:pStyle w:val="NoSpacing"/>
      </w:pPr>
    </w:p>
    <w:p w14:paraId="7BFD2151" w14:textId="7EBF6625" w:rsidR="00E14DEC" w:rsidRDefault="00D55038" w:rsidP="00D55038">
      <w:pPr>
        <w:pStyle w:val="NoSpacing"/>
      </w:pPr>
      <w:r>
        <w:rPr>
          <w:rFonts w:hint="eastAsia"/>
        </w:rPr>
        <w:t>截至</w:t>
      </w:r>
      <w:r>
        <w:rPr>
          <w:rFonts w:hint="eastAsia"/>
        </w:rPr>
        <w:t xml:space="preserve"> 2022 </w:t>
      </w:r>
      <w:r>
        <w:rPr>
          <w:rFonts w:hint="eastAsia"/>
        </w:rPr>
        <w:t>年</w:t>
      </w:r>
      <w:r>
        <w:rPr>
          <w:rFonts w:hint="eastAsia"/>
        </w:rPr>
        <w:t xml:space="preserve"> 12 </w:t>
      </w:r>
      <w:r>
        <w:rPr>
          <w:rFonts w:hint="eastAsia"/>
        </w:rPr>
        <w:t>月</w:t>
      </w:r>
      <w:r>
        <w:rPr>
          <w:rFonts w:hint="eastAsia"/>
        </w:rPr>
        <w:t xml:space="preserve"> 31 </w:t>
      </w:r>
      <w:r>
        <w:rPr>
          <w:rFonts w:hint="eastAsia"/>
        </w:rPr>
        <w:t>日止，年度淨虧損總計為</w:t>
      </w:r>
      <w:r>
        <w:rPr>
          <w:rFonts w:hint="eastAsia"/>
        </w:rPr>
        <w:t xml:space="preserve"> 660 </w:t>
      </w:r>
      <w:r>
        <w:rPr>
          <w:rFonts w:hint="eastAsia"/>
        </w:rPr>
        <w:t>萬美元，或攤薄後</w:t>
      </w:r>
      <w:r>
        <w:rPr>
          <w:rFonts w:hint="eastAsia"/>
        </w:rPr>
        <w:t xml:space="preserve"> A </w:t>
      </w:r>
      <w:r>
        <w:rPr>
          <w:rFonts w:hint="eastAsia"/>
        </w:rPr>
        <w:t>類股每股虧損</w:t>
      </w:r>
      <w:r>
        <w:rPr>
          <w:rFonts w:hint="eastAsia"/>
        </w:rPr>
        <w:t xml:space="preserve"> 0.13 </w:t>
      </w:r>
      <w:r>
        <w:rPr>
          <w:rFonts w:hint="eastAsia"/>
        </w:rPr>
        <w:t>美元，相比之下，</w:t>
      </w:r>
      <w:r>
        <w:rPr>
          <w:rFonts w:hint="eastAsia"/>
        </w:rPr>
        <w:t xml:space="preserve">2021 </w:t>
      </w:r>
      <w:r>
        <w:rPr>
          <w:rFonts w:hint="eastAsia"/>
        </w:rPr>
        <w:t>年的淨收益為</w:t>
      </w:r>
      <w:r>
        <w:rPr>
          <w:rFonts w:hint="eastAsia"/>
        </w:rPr>
        <w:t xml:space="preserve"> 3680 </w:t>
      </w:r>
      <w:r>
        <w:rPr>
          <w:rFonts w:hint="eastAsia"/>
        </w:rPr>
        <w:t>萬美元，或攤薄後</w:t>
      </w:r>
      <w:r>
        <w:rPr>
          <w:rFonts w:hint="eastAsia"/>
        </w:rPr>
        <w:t xml:space="preserve"> A </w:t>
      </w:r>
      <w:r>
        <w:rPr>
          <w:rFonts w:hint="eastAsia"/>
        </w:rPr>
        <w:t>類股每股盈利</w:t>
      </w:r>
      <w:r>
        <w:rPr>
          <w:rFonts w:hint="eastAsia"/>
        </w:rPr>
        <w:t xml:space="preserve"> 0.73 </w:t>
      </w:r>
      <w:r>
        <w:rPr>
          <w:rFonts w:hint="eastAsia"/>
        </w:rPr>
        <w:t>美元。但是，</w:t>
      </w:r>
      <w:r w:rsidR="00C36999">
        <w:br/>
      </w:r>
      <w:r>
        <w:rPr>
          <w:rFonts w:hint="eastAsia"/>
        </w:rPr>
        <w:t>由於</w:t>
      </w:r>
      <w:r>
        <w:rPr>
          <w:rFonts w:hint="eastAsia"/>
        </w:rPr>
        <w:t xml:space="preserve"> 2021 </w:t>
      </w:r>
      <w:r>
        <w:rPr>
          <w:rFonts w:hint="eastAsia"/>
        </w:rPr>
        <w:t>年第四季度發生的一次性稅收優惠和一次性商譽減值，以及</w:t>
      </w:r>
      <w:r>
        <w:rPr>
          <w:rFonts w:hint="eastAsia"/>
        </w:rPr>
        <w:t>2022</w:t>
      </w:r>
      <w:r>
        <w:rPr>
          <w:rFonts w:hint="eastAsia"/>
        </w:rPr>
        <w:t>年通貨膨脹對市場波動和利率影響造成的</w:t>
      </w:r>
      <w:r>
        <w:rPr>
          <w:rFonts w:hint="eastAsia"/>
        </w:rPr>
        <w:t xml:space="preserve"> 1030 </w:t>
      </w:r>
      <w:r>
        <w:rPr>
          <w:rFonts w:hint="eastAsia"/>
        </w:rPr>
        <w:t>萬美元的非核心</w:t>
      </w:r>
      <w:r w:rsidR="00C36999">
        <w:rPr>
          <w:rFonts w:hint="eastAsia"/>
        </w:rPr>
        <w:t>、</w:t>
      </w:r>
      <w:r>
        <w:rPr>
          <w:rFonts w:hint="eastAsia"/>
        </w:rPr>
        <w:t>主要是非現金的投資相關損失，因此很難進行同比</w:t>
      </w:r>
      <w:r w:rsidR="00C36999">
        <w:br/>
      </w:r>
      <w:r>
        <w:rPr>
          <w:rFonts w:hint="eastAsia"/>
        </w:rPr>
        <w:t>比較。</w:t>
      </w:r>
    </w:p>
    <w:p w14:paraId="5ABF8032" w14:textId="77777777" w:rsidR="00E14DEC" w:rsidRDefault="00E14DEC" w:rsidP="00D55038">
      <w:pPr>
        <w:pStyle w:val="NoSpacing"/>
      </w:pPr>
    </w:p>
    <w:p w14:paraId="467F0CA7" w14:textId="55DC0ABE" w:rsidR="00D55038" w:rsidRDefault="00E14DEC" w:rsidP="00D55038">
      <w:pPr>
        <w:pStyle w:val="NoSpacing"/>
      </w:pPr>
      <w:r>
        <w:rPr>
          <w:rFonts w:hint="eastAsia"/>
        </w:rPr>
        <w:t>扣除這些一次性項目和與投資相關的損益，與</w:t>
      </w:r>
      <w:r>
        <w:rPr>
          <w:rFonts w:hint="eastAsia"/>
        </w:rPr>
        <w:t xml:space="preserve"> 2021 </w:t>
      </w:r>
      <w:r>
        <w:rPr>
          <w:rFonts w:hint="eastAsia"/>
        </w:rPr>
        <w:t>年相比，</w:t>
      </w:r>
      <w:r>
        <w:rPr>
          <w:rFonts w:hint="eastAsia"/>
        </w:rPr>
        <w:t xml:space="preserve">2022 </w:t>
      </w:r>
      <w:r>
        <w:rPr>
          <w:rFonts w:hint="eastAsia"/>
        </w:rPr>
        <w:t>年</w:t>
      </w:r>
      <w:r>
        <w:rPr>
          <w:rFonts w:hint="eastAsia"/>
          <w:sz w:val="24"/>
          <w:szCs w:val="24"/>
        </w:rPr>
        <w:t>營業收入增加了</w:t>
      </w:r>
      <w:r>
        <w:rPr>
          <w:rFonts w:hint="eastAsia"/>
          <w:sz w:val="24"/>
          <w:szCs w:val="24"/>
        </w:rPr>
        <w:t xml:space="preserve"> 830 </w:t>
      </w:r>
      <w:r>
        <w:rPr>
          <w:rFonts w:hint="eastAsia"/>
          <w:sz w:val="24"/>
          <w:szCs w:val="24"/>
        </w:rPr>
        <w:t>萬美元，主要原因是</w:t>
      </w:r>
      <w:r>
        <w:rPr>
          <w:rFonts w:hint="eastAsia"/>
        </w:rPr>
        <w:t>淨投資收入增加、死亡索賠減少和財產索賠減少。</w:t>
      </w:r>
    </w:p>
    <w:p w14:paraId="208386D9" w14:textId="77777777" w:rsidR="001B5A03" w:rsidRDefault="001B5A03" w:rsidP="001B5A03">
      <w:pPr>
        <w:pStyle w:val="NoSpacing"/>
        <w:rPr>
          <w:highlight w:val="yellow"/>
        </w:rPr>
      </w:pPr>
    </w:p>
    <w:p w14:paraId="1557D634" w14:textId="12A42179" w:rsidR="00FD0B20" w:rsidRDefault="00FD0B20" w:rsidP="00FD0B20">
      <w:pPr>
        <w:pStyle w:val="NoSpacing"/>
      </w:pPr>
      <w:r>
        <w:rPr>
          <w:rFonts w:hint="eastAsia"/>
        </w:rPr>
        <w:t xml:space="preserve">2022 </w:t>
      </w:r>
      <w:r>
        <w:rPr>
          <w:rFonts w:hint="eastAsia"/>
        </w:rPr>
        <w:t>年，公司通過專注於以最有效的方式向合適的客戶提供合適的產品，在實現戰略目標方面取得了長足進步。為此，公司推出了八種以客戶為中心的新產品和產品增強功能，實施了促進增長的銷售促銷和活動，並實施了流程改進和新技術，以便更快地將產品交付給客戶。這些舉措的綜合影響導致人壽保險簽發總量和保單簽發數量分別增長了</w:t>
      </w:r>
      <w:r>
        <w:rPr>
          <w:rFonts w:hint="eastAsia"/>
        </w:rPr>
        <w:t xml:space="preserve"> 64% </w:t>
      </w:r>
      <w:r>
        <w:rPr>
          <w:rFonts w:hint="eastAsia"/>
        </w:rPr>
        <w:t>和</w:t>
      </w:r>
      <w:r>
        <w:rPr>
          <w:rFonts w:hint="eastAsia"/>
        </w:rPr>
        <w:t xml:space="preserve"> 18%</w:t>
      </w:r>
      <w:r>
        <w:rPr>
          <w:rFonts w:hint="eastAsia"/>
        </w:rPr>
        <w:t>。</w:t>
      </w:r>
    </w:p>
    <w:p w14:paraId="40C46285" w14:textId="77777777" w:rsidR="00D2321A" w:rsidRDefault="00D2321A" w:rsidP="00D55038">
      <w:pPr>
        <w:pStyle w:val="NoSpacing"/>
      </w:pPr>
    </w:p>
    <w:p w14:paraId="3DF00D78" w14:textId="3E9283E5" w:rsidR="0050686F" w:rsidRDefault="00AE3F64" w:rsidP="0050686F">
      <w:pPr>
        <w:pStyle w:val="NoSpacing"/>
      </w:pPr>
      <w:r>
        <w:rPr>
          <w:rFonts w:hint="eastAsia"/>
        </w:rPr>
        <w:t xml:space="preserve">2022 </w:t>
      </w:r>
      <w:r>
        <w:rPr>
          <w:rFonts w:hint="eastAsia"/>
        </w:rPr>
        <w:t>年，首年保費總額趨勢穩步改善，公司認為這是對其人壽保險新產品需求強勁的結果。然而，首年綜合保費下降</w:t>
      </w:r>
      <w:r>
        <w:rPr>
          <w:rFonts w:hint="eastAsia"/>
        </w:rPr>
        <w:t xml:space="preserve"> 1%</w:t>
      </w:r>
      <w:r>
        <w:rPr>
          <w:rFonts w:hint="eastAsia"/>
        </w:rPr>
        <w:t>，因為人壽保險部門的強勁增長被家庭服務保險部門的下降所抵消，公司認為這是由於通貨膨脹對其客戶群的影響。續保保費也下降了不到</w:t>
      </w:r>
      <w:r>
        <w:rPr>
          <w:rFonts w:hint="eastAsia"/>
        </w:rPr>
        <w:t xml:space="preserve"> 1%</w:t>
      </w:r>
      <w:r>
        <w:rPr>
          <w:rFonts w:hint="eastAsia"/>
        </w:rPr>
        <w:t>，</w:t>
      </w:r>
      <w:r>
        <w:rPr>
          <w:rFonts w:hint="eastAsia"/>
        </w:rPr>
        <w:t xml:space="preserve">2022 </w:t>
      </w:r>
      <w:r>
        <w:rPr>
          <w:rFonts w:hint="eastAsia"/>
        </w:rPr>
        <w:t>年的保費總收入下降了不到</w:t>
      </w:r>
      <w:r>
        <w:rPr>
          <w:rFonts w:hint="eastAsia"/>
        </w:rPr>
        <w:t xml:space="preserve"> 1%</w:t>
      </w:r>
      <w:r>
        <w:rPr>
          <w:rFonts w:hint="eastAsia"/>
        </w:rPr>
        <w:t>。</w:t>
      </w:r>
    </w:p>
    <w:p w14:paraId="44483687" w14:textId="77777777" w:rsidR="00D55038" w:rsidRDefault="00D55038" w:rsidP="00D55038">
      <w:pPr>
        <w:pStyle w:val="NoSpacing"/>
      </w:pPr>
    </w:p>
    <w:p w14:paraId="2160B6A1" w14:textId="347CEC8D" w:rsidR="00D55038" w:rsidRDefault="00D55038" w:rsidP="00D55038">
      <w:pPr>
        <w:pStyle w:val="NoSpacing"/>
      </w:pPr>
      <w:r>
        <w:rPr>
          <w:rFonts w:hint="eastAsia"/>
        </w:rPr>
        <w:t>與</w:t>
      </w:r>
      <w:r>
        <w:rPr>
          <w:rFonts w:hint="eastAsia"/>
        </w:rPr>
        <w:t xml:space="preserve"> 2021 </w:t>
      </w:r>
      <w:r>
        <w:rPr>
          <w:rFonts w:hint="eastAsia"/>
        </w:rPr>
        <w:t>年相比，</w:t>
      </w:r>
      <w:r>
        <w:rPr>
          <w:rFonts w:hint="eastAsia"/>
        </w:rPr>
        <w:t xml:space="preserve">2022 </w:t>
      </w:r>
      <w:r>
        <w:rPr>
          <w:rFonts w:hint="eastAsia"/>
        </w:rPr>
        <w:t>年的總索賠和退保福利增長不到</w:t>
      </w:r>
      <w:r>
        <w:rPr>
          <w:rFonts w:hint="eastAsia"/>
        </w:rPr>
        <w:t xml:space="preserve"> 1%</w:t>
      </w:r>
      <w:r>
        <w:rPr>
          <w:rFonts w:hint="eastAsia"/>
        </w:rPr>
        <w:t>，這主要是由於到期養老保險的增加，抵消了死亡索賠和退保的減少。</w:t>
      </w:r>
    </w:p>
    <w:p w14:paraId="164B134F" w14:textId="77777777" w:rsidR="00D55038" w:rsidRDefault="00D55038" w:rsidP="00D55038">
      <w:pPr>
        <w:pStyle w:val="NoSpacing"/>
      </w:pPr>
    </w:p>
    <w:p w14:paraId="7442409D" w14:textId="5D37E8E6" w:rsidR="0088228E" w:rsidRDefault="00D55038" w:rsidP="003679D8">
      <w:pPr>
        <w:pStyle w:val="NoSpacing"/>
      </w:pPr>
      <w:r>
        <w:rPr>
          <w:rFonts w:hint="eastAsia"/>
        </w:rPr>
        <w:t xml:space="preserve">2022 </w:t>
      </w:r>
      <w:r>
        <w:rPr>
          <w:rFonts w:hint="eastAsia"/>
        </w:rPr>
        <w:t>年的一般費用增加了</w:t>
      </w:r>
      <w:r>
        <w:rPr>
          <w:rFonts w:hint="eastAsia"/>
        </w:rPr>
        <w:t xml:space="preserve"> 180 </w:t>
      </w:r>
      <w:r>
        <w:rPr>
          <w:rFonts w:hint="eastAsia"/>
        </w:rPr>
        <w:t>萬美元，同比增長</w:t>
      </w:r>
      <w:r>
        <w:rPr>
          <w:rFonts w:hint="eastAsia"/>
        </w:rPr>
        <w:t xml:space="preserve"> 4%</w:t>
      </w:r>
      <w:r>
        <w:rPr>
          <w:rFonts w:hint="eastAsia"/>
        </w:rPr>
        <w:t>。這一增長主要與公司舉行的國際銷售會議有關，因</w:t>
      </w:r>
      <w:r>
        <w:rPr>
          <w:rFonts w:hint="eastAsia"/>
        </w:rPr>
        <w:t xml:space="preserve">COVID-19 </w:t>
      </w:r>
      <w:r>
        <w:rPr>
          <w:rFonts w:hint="eastAsia"/>
        </w:rPr>
        <w:t>限制，</w:t>
      </w:r>
      <w:r>
        <w:rPr>
          <w:rFonts w:hint="eastAsia"/>
        </w:rPr>
        <w:t xml:space="preserve">2021 </w:t>
      </w:r>
      <w:r>
        <w:rPr>
          <w:rFonts w:hint="eastAsia"/>
        </w:rPr>
        <w:t>年未舉行該會議，在較小程度上還與公司將國際業務轉移到波多黎各的相關成本有關。</w:t>
      </w:r>
    </w:p>
    <w:p w14:paraId="63A6ECB4" w14:textId="77777777" w:rsidR="0088228E" w:rsidRDefault="0088228E" w:rsidP="0088228E">
      <w:pPr>
        <w:autoSpaceDE w:val="0"/>
        <w:autoSpaceDN w:val="0"/>
        <w:adjustRightInd w:val="0"/>
        <w:spacing w:after="0" w:line="240" w:lineRule="auto"/>
      </w:pPr>
    </w:p>
    <w:p w14:paraId="2A80ABA0" w14:textId="5BCA2441" w:rsidR="0088228E" w:rsidRPr="00210550" w:rsidRDefault="0088228E" w:rsidP="0088228E">
      <w:pPr>
        <w:autoSpaceDE w:val="0"/>
        <w:autoSpaceDN w:val="0"/>
        <w:adjustRightInd w:val="0"/>
        <w:spacing w:after="0" w:line="240" w:lineRule="auto"/>
      </w:pPr>
      <w:r>
        <w:rPr>
          <w:rFonts w:hint="eastAsia"/>
        </w:rPr>
        <w:t xml:space="preserve">2023 </w:t>
      </w:r>
      <w:r>
        <w:rPr>
          <w:rFonts w:hint="eastAsia"/>
        </w:rPr>
        <w:t>年</w:t>
      </w:r>
      <w:r>
        <w:rPr>
          <w:rFonts w:hint="eastAsia"/>
        </w:rPr>
        <w:t xml:space="preserve"> 1 </w:t>
      </w:r>
      <w:r>
        <w:rPr>
          <w:rFonts w:hint="eastAsia"/>
        </w:rPr>
        <w:t>月</w:t>
      </w:r>
      <w:r>
        <w:rPr>
          <w:rFonts w:hint="eastAsia"/>
        </w:rPr>
        <w:t xml:space="preserve"> 1 </w:t>
      </w:r>
      <w:r>
        <w:rPr>
          <w:rFonts w:hint="eastAsia"/>
        </w:rPr>
        <w:t>日，公司開始在位於美國領土的波多黎各新子公司開展國際業務，而不是在百慕大。公司認為，在波多黎各開展新業務的好處是，西班牙語是其大多數國際保單持有人的主要語言，這將推動銷售並提高保單的保留率。</w:t>
      </w:r>
    </w:p>
    <w:p w14:paraId="10E957A9" w14:textId="77777777" w:rsidR="00D55038" w:rsidRDefault="00D55038" w:rsidP="00D55038">
      <w:pPr>
        <w:pStyle w:val="NoSpacing"/>
        <w:rPr>
          <w:b/>
          <w:bCs/>
          <w:u w:val="single"/>
        </w:rPr>
      </w:pPr>
    </w:p>
    <w:p w14:paraId="62D4998D" w14:textId="77777777" w:rsidR="00D55038" w:rsidRDefault="00D55038" w:rsidP="00D55038">
      <w:pPr>
        <w:pStyle w:val="NoSpacing"/>
        <w:jc w:val="center"/>
        <w:rPr>
          <w:b/>
          <w:bCs/>
          <w:u w:val="single"/>
        </w:rPr>
      </w:pPr>
    </w:p>
    <w:p w14:paraId="1113A80B" w14:textId="77777777" w:rsidR="00D55038" w:rsidRPr="00C8476A" w:rsidRDefault="00D55038" w:rsidP="00D55038">
      <w:pPr>
        <w:pStyle w:val="NoSpacing"/>
        <w:jc w:val="center"/>
        <w:rPr>
          <w:b/>
          <w:bCs/>
          <w:u w:val="single"/>
        </w:rPr>
      </w:pPr>
      <w:r>
        <w:rPr>
          <w:rFonts w:hint="eastAsia"/>
          <w:b/>
          <w:bCs/>
          <w:u w:val="single"/>
        </w:rPr>
        <w:t xml:space="preserve">2022 </w:t>
      </w:r>
      <w:r>
        <w:rPr>
          <w:rFonts w:hint="eastAsia"/>
          <w:b/>
          <w:bCs/>
          <w:u w:val="single"/>
        </w:rPr>
        <w:t>年全年部門業績和亮點</w:t>
      </w:r>
    </w:p>
    <w:p w14:paraId="3A225E1A" w14:textId="77777777" w:rsidR="00D55038" w:rsidRDefault="00D55038" w:rsidP="00D55038">
      <w:pPr>
        <w:pStyle w:val="NoSpacing"/>
        <w:rPr>
          <w:b/>
          <w:bCs/>
        </w:rPr>
      </w:pPr>
    </w:p>
    <w:p w14:paraId="5380D673" w14:textId="77777777" w:rsidR="00D55038" w:rsidRDefault="00D55038" w:rsidP="00D55038">
      <w:pPr>
        <w:pStyle w:val="NoSpacing"/>
        <w:rPr>
          <w:b/>
          <w:bCs/>
        </w:rPr>
      </w:pPr>
      <w:r>
        <w:rPr>
          <w:rFonts w:hint="eastAsia"/>
          <w:b/>
          <w:bCs/>
        </w:rPr>
        <w:t>人壽保險</w:t>
      </w:r>
    </w:p>
    <w:p w14:paraId="10AFCCCD" w14:textId="77777777" w:rsidR="00D55038" w:rsidRDefault="00D55038" w:rsidP="00D55038">
      <w:pPr>
        <w:pStyle w:val="NoSpacing"/>
      </w:pPr>
      <w:r>
        <w:rPr>
          <w:rFonts w:hint="eastAsia"/>
        </w:rPr>
        <w:t>與</w:t>
      </w:r>
      <w:r>
        <w:rPr>
          <w:rFonts w:hint="eastAsia"/>
        </w:rPr>
        <w:t xml:space="preserve"> 2021 </w:t>
      </w:r>
      <w:r>
        <w:rPr>
          <w:rFonts w:hint="eastAsia"/>
        </w:rPr>
        <w:t>年相比，</w:t>
      </w:r>
      <w:r>
        <w:rPr>
          <w:rFonts w:hint="eastAsia"/>
        </w:rPr>
        <w:t xml:space="preserve">2022 </w:t>
      </w:r>
      <w:r>
        <w:rPr>
          <w:rFonts w:hint="eastAsia"/>
        </w:rPr>
        <w:t>年的保費總收入下降了</w:t>
      </w:r>
      <w:r>
        <w:rPr>
          <w:rFonts w:hint="eastAsia"/>
        </w:rPr>
        <w:t xml:space="preserve"> 1%</w:t>
      </w:r>
      <w:r>
        <w:rPr>
          <w:rFonts w:hint="eastAsia"/>
        </w:rPr>
        <w:t>，這是因為首年保費的增加被續保保費的減少所抵消。</w:t>
      </w:r>
    </w:p>
    <w:p w14:paraId="435091D7" w14:textId="77777777" w:rsidR="00D55038" w:rsidRDefault="00D55038" w:rsidP="00D55038">
      <w:pPr>
        <w:pStyle w:val="NoSpacing"/>
      </w:pPr>
    </w:p>
    <w:p w14:paraId="04F7B5E2" w14:textId="138C9464" w:rsidR="00D55038" w:rsidRDefault="00D55038" w:rsidP="00D55038">
      <w:pPr>
        <w:pStyle w:val="NoSpacing"/>
      </w:pPr>
      <w:r>
        <w:rPr>
          <w:rFonts w:hint="eastAsia"/>
        </w:rPr>
        <w:t>與</w:t>
      </w:r>
      <w:r>
        <w:rPr>
          <w:rFonts w:hint="eastAsia"/>
        </w:rPr>
        <w:t xml:space="preserve"> 2021 </w:t>
      </w:r>
      <w:r>
        <w:rPr>
          <w:rFonts w:hint="eastAsia"/>
        </w:rPr>
        <w:t>年相比，</w:t>
      </w:r>
      <w:r>
        <w:rPr>
          <w:rFonts w:hint="eastAsia"/>
        </w:rPr>
        <w:t xml:space="preserve">2022 </w:t>
      </w:r>
      <w:r>
        <w:rPr>
          <w:rFonts w:hint="eastAsia"/>
        </w:rPr>
        <w:t>年的首年保費和簽發的保單數量分別增長了</w:t>
      </w:r>
      <w:r>
        <w:rPr>
          <w:rFonts w:hint="eastAsia"/>
        </w:rPr>
        <w:t xml:space="preserve"> 4% </w:t>
      </w:r>
      <w:r>
        <w:rPr>
          <w:rFonts w:hint="eastAsia"/>
        </w:rPr>
        <w:t>和</w:t>
      </w:r>
      <w:r>
        <w:rPr>
          <w:rFonts w:hint="eastAsia"/>
        </w:rPr>
        <w:t xml:space="preserve"> 12%</w:t>
      </w:r>
      <w:r>
        <w:rPr>
          <w:rFonts w:hint="eastAsia"/>
        </w:rPr>
        <w:t>。人壽保險部門的增長歸功於公司新的國際終身壽險產品</w:t>
      </w:r>
      <w:r>
        <w:rPr>
          <w:rFonts w:hint="eastAsia"/>
        </w:rPr>
        <w:t xml:space="preserve"> Whole Life 360 </w:t>
      </w:r>
      <w:r>
        <w:rPr>
          <w:rFonts w:hint="eastAsia"/>
        </w:rPr>
        <w:t>的強勁銷售，該產品佔</w:t>
      </w:r>
      <w:r>
        <w:rPr>
          <w:rFonts w:hint="eastAsia"/>
        </w:rPr>
        <w:t xml:space="preserve"> 2022 </w:t>
      </w:r>
      <w:r>
        <w:rPr>
          <w:rFonts w:hint="eastAsia"/>
        </w:rPr>
        <w:t>年該部門簽發保險總額的</w:t>
      </w:r>
      <w:r>
        <w:rPr>
          <w:rFonts w:hint="eastAsia"/>
        </w:rPr>
        <w:t xml:space="preserve"> 62%</w:t>
      </w:r>
      <w:r>
        <w:rPr>
          <w:rFonts w:hint="eastAsia"/>
        </w:rPr>
        <w:t>。公司繼續專注於銷售促銷和活動，並優先招聘新的獨立承包商，並相信這些努力已取得積極成果。</w:t>
      </w:r>
    </w:p>
    <w:p w14:paraId="2E094B3C" w14:textId="77777777" w:rsidR="00D55038" w:rsidRDefault="00D55038" w:rsidP="00D55038">
      <w:pPr>
        <w:pStyle w:val="NoSpacing"/>
      </w:pPr>
    </w:p>
    <w:p w14:paraId="3598161D" w14:textId="10D2E59E" w:rsidR="00D55038" w:rsidRDefault="00D55038" w:rsidP="00D55038">
      <w:pPr>
        <w:pStyle w:val="NoSpacing"/>
      </w:pPr>
      <w:r>
        <w:rPr>
          <w:rFonts w:hint="eastAsia"/>
        </w:rPr>
        <w:t xml:space="preserve">2022 </w:t>
      </w:r>
      <w:r>
        <w:rPr>
          <w:rFonts w:hint="eastAsia"/>
        </w:rPr>
        <w:t>年的續保保費下降了</w:t>
      </w:r>
      <w:r>
        <w:rPr>
          <w:rFonts w:hint="eastAsia"/>
        </w:rPr>
        <w:t xml:space="preserve"> 2%</w:t>
      </w:r>
      <w:r>
        <w:rPr>
          <w:rFonts w:hint="eastAsia"/>
        </w:rPr>
        <w:t>，這是由於到期養老保險（預計由於合同到期）的增加，以及過去幾年退保增加的剩餘影響。</w:t>
      </w:r>
    </w:p>
    <w:p w14:paraId="26951DCB" w14:textId="77777777" w:rsidR="00D55038" w:rsidRDefault="00D55038" w:rsidP="00D55038">
      <w:pPr>
        <w:pStyle w:val="NoSpacing"/>
      </w:pPr>
    </w:p>
    <w:p w14:paraId="41A4C49F" w14:textId="77777777" w:rsidR="00D55038" w:rsidRDefault="00D55038" w:rsidP="00D55038">
      <w:pPr>
        <w:pStyle w:val="NoSpacing"/>
        <w:rPr>
          <w:b/>
          <w:bCs/>
        </w:rPr>
      </w:pPr>
      <w:r>
        <w:rPr>
          <w:rFonts w:hint="eastAsia"/>
        </w:rPr>
        <w:t xml:space="preserve">2022 </w:t>
      </w:r>
      <w:r>
        <w:rPr>
          <w:rFonts w:hint="eastAsia"/>
        </w:rPr>
        <w:t>年的總索賠和退保福利同比增長</w:t>
      </w:r>
      <w:r>
        <w:rPr>
          <w:rFonts w:hint="eastAsia"/>
        </w:rPr>
        <w:t xml:space="preserve"> 5%</w:t>
      </w:r>
      <w:r>
        <w:rPr>
          <w:rFonts w:hint="eastAsia"/>
        </w:rPr>
        <w:t>，這主要是由於計劃到期養老保險的增加抵消了死亡索賠和退保的減少。由於公司國際業務中報告的索賠數量減少，死亡索賠下降了</w:t>
      </w:r>
      <w:r>
        <w:rPr>
          <w:rFonts w:hint="eastAsia"/>
        </w:rPr>
        <w:t xml:space="preserve"> 25%</w:t>
      </w:r>
      <w:r>
        <w:rPr>
          <w:rFonts w:hint="eastAsia"/>
        </w:rPr>
        <w:t>。保單退保下降了</w:t>
      </w:r>
      <w:r>
        <w:rPr>
          <w:rFonts w:hint="eastAsia"/>
        </w:rPr>
        <w:t xml:space="preserve"> 8%</w:t>
      </w:r>
      <w:r>
        <w:rPr>
          <w:rFonts w:hint="eastAsia"/>
        </w:rPr>
        <w:t>，公司認為這是實施旨在減輕和限制退保的戰略政策舉措的結果。</w:t>
      </w:r>
    </w:p>
    <w:p w14:paraId="6917D35D" w14:textId="77777777" w:rsidR="00D55038" w:rsidRDefault="00D55038" w:rsidP="00D55038">
      <w:pPr>
        <w:pStyle w:val="NoSpacing"/>
        <w:rPr>
          <w:b/>
          <w:bCs/>
        </w:rPr>
      </w:pPr>
    </w:p>
    <w:p w14:paraId="52147B30" w14:textId="77777777" w:rsidR="00D55038" w:rsidRPr="005254E4" w:rsidRDefault="00D55038" w:rsidP="00D55038">
      <w:pPr>
        <w:pStyle w:val="NoSpacing"/>
        <w:keepNext/>
      </w:pPr>
      <w:r>
        <w:rPr>
          <w:rFonts w:hint="eastAsia"/>
          <w:b/>
          <w:bCs/>
        </w:rPr>
        <w:t>家庭服務保險</w:t>
      </w:r>
    </w:p>
    <w:p w14:paraId="76C6C98F" w14:textId="77777777" w:rsidR="00D55038" w:rsidRDefault="00D55038" w:rsidP="00D55038">
      <w:pPr>
        <w:pStyle w:val="NoSpacing"/>
      </w:pPr>
      <w:r>
        <w:rPr>
          <w:rFonts w:hint="eastAsia"/>
        </w:rPr>
        <w:t xml:space="preserve">2022 </w:t>
      </w:r>
      <w:r>
        <w:rPr>
          <w:rFonts w:hint="eastAsia"/>
        </w:rPr>
        <w:t>年家庭服務保險部門的保費總收入與上一年相比增長了</w:t>
      </w:r>
      <w:r>
        <w:rPr>
          <w:rFonts w:hint="eastAsia"/>
        </w:rPr>
        <w:t xml:space="preserve"> 1%</w:t>
      </w:r>
      <w:r>
        <w:rPr>
          <w:rFonts w:hint="eastAsia"/>
        </w:rPr>
        <w:t>。增長的原因是財產保險保費總額的增加，部分被人壽保險保費總額的減少所抵消。</w:t>
      </w:r>
    </w:p>
    <w:p w14:paraId="432F6D15" w14:textId="77777777" w:rsidR="00D55038" w:rsidRDefault="00D55038" w:rsidP="00D55038">
      <w:pPr>
        <w:pStyle w:val="NoSpacing"/>
      </w:pPr>
    </w:p>
    <w:p w14:paraId="0D789B78" w14:textId="77777777" w:rsidR="00D55038" w:rsidRDefault="00D55038" w:rsidP="00D55038">
      <w:pPr>
        <w:pStyle w:val="NoSpacing"/>
      </w:pPr>
      <w:r>
        <w:rPr>
          <w:rFonts w:hint="eastAsia"/>
        </w:rPr>
        <w:t xml:space="preserve">2022 </w:t>
      </w:r>
      <w:r>
        <w:rPr>
          <w:rFonts w:hint="eastAsia"/>
        </w:rPr>
        <w:t>年的首年保費為</w:t>
      </w:r>
      <w:r>
        <w:rPr>
          <w:rFonts w:hint="eastAsia"/>
        </w:rPr>
        <w:t xml:space="preserve"> 560 </w:t>
      </w:r>
      <w:r>
        <w:rPr>
          <w:rFonts w:hint="eastAsia"/>
        </w:rPr>
        <w:t>萬美元，而上一年為</w:t>
      </w:r>
      <w:r>
        <w:rPr>
          <w:rFonts w:hint="eastAsia"/>
        </w:rPr>
        <w:t xml:space="preserve"> 630 </w:t>
      </w:r>
      <w:r>
        <w:rPr>
          <w:rFonts w:hint="eastAsia"/>
        </w:rPr>
        <w:t>萬美元。首年保費下降的原因是基於戰略風險的財產保險保費收入縮減，以及由於通脹壓力和</w:t>
      </w:r>
      <w:r>
        <w:rPr>
          <w:rFonts w:hint="eastAsia"/>
        </w:rPr>
        <w:t xml:space="preserve"> 2022 </w:t>
      </w:r>
      <w:r>
        <w:rPr>
          <w:rFonts w:hint="eastAsia"/>
        </w:rPr>
        <w:t>年</w:t>
      </w:r>
      <w:r>
        <w:rPr>
          <w:rFonts w:hint="eastAsia"/>
        </w:rPr>
        <w:t xml:space="preserve"> COVID-19 </w:t>
      </w:r>
      <w:r>
        <w:rPr>
          <w:rFonts w:hint="eastAsia"/>
        </w:rPr>
        <w:t>救濟援助縮減導致人壽保險保費下降。</w:t>
      </w:r>
    </w:p>
    <w:p w14:paraId="66F10017" w14:textId="77777777" w:rsidR="00D55038" w:rsidRDefault="00D55038" w:rsidP="00D55038">
      <w:pPr>
        <w:pStyle w:val="NoSpacing"/>
      </w:pPr>
    </w:p>
    <w:p w14:paraId="469D66B8" w14:textId="77777777" w:rsidR="00D55038" w:rsidRDefault="00D55038" w:rsidP="00D55038">
      <w:pPr>
        <w:pStyle w:val="NoSpacing"/>
      </w:pPr>
      <w:r>
        <w:rPr>
          <w:rFonts w:hint="eastAsia"/>
        </w:rPr>
        <w:t>儘管首年保費總體下降，但簽發的人壽保險增加了</w:t>
      </w:r>
      <w:r>
        <w:rPr>
          <w:rFonts w:hint="eastAsia"/>
        </w:rPr>
        <w:t xml:space="preserve"> 1.065 </w:t>
      </w:r>
      <w:r>
        <w:rPr>
          <w:rFonts w:hint="eastAsia"/>
        </w:rPr>
        <w:t>億美元，即</w:t>
      </w:r>
      <w:r>
        <w:rPr>
          <w:rFonts w:hint="eastAsia"/>
        </w:rPr>
        <w:t xml:space="preserve"> 60%</w:t>
      </w:r>
      <w:r>
        <w:rPr>
          <w:rFonts w:hint="eastAsia"/>
        </w:rPr>
        <w:t>，這是由於有針對性的銷售活動和公司在該細分市場推出新的終身壽險產品，該產品的最大面值高於傳統產品。</w:t>
      </w:r>
    </w:p>
    <w:p w14:paraId="1F7A7E0F" w14:textId="77777777" w:rsidR="00D55038" w:rsidRDefault="00D55038" w:rsidP="00D55038">
      <w:pPr>
        <w:pStyle w:val="NoSpacing"/>
      </w:pPr>
    </w:p>
    <w:p w14:paraId="3942B76D" w14:textId="77777777" w:rsidR="00D55038" w:rsidRDefault="00D55038" w:rsidP="00D55038">
      <w:pPr>
        <w:pStyle w:val="NoSpacing"/>
      </w:pPr>
      <w:r>
        <w:rPr>
          <w:rFonts w:hint="eastAsia"/>
        </w:rPr>
        <w:t>與</w:t>
      </w:r>
      <w:r>
        <w:rPr>
          <w:rFonts w:hint="eastAsia"/>
        </w:rPr>
        <w:t xml:space="preserve"> 2021 </w:t>
      </w:r>
      <w:r>
        <w:rPr>
          <w:rFonts w:hint="eastAsia"/>
        </w:rPr>
        <w:t>年相比，由於費率增加和颶風次數增加導致財產保費收入增加，續保保費較上年增長</w:t>
      </w:r>
      <w:r>
        <w:rPr>
          <w:rFonts w:hint="eastAsia"/>
        </w:rPr>
        <w:t xml:space="preserve"> 3%</w:t>
      </w:r>
      <w:r>
        <w:rPr>
          <w:rFonts w:hint="eastAsia"/>
        </w:rPr>
        <w:t>，部分被人壽保險保費下降所抵消。</w:t>
      </w:r>
    </w:p>
    <w:p w14:paraId="4F83B05B" w14:textId="77777777" w:rsidR="00D55038" w:rsidRDefault="00D55038" w:rsidP="00D55038">
      <w:pPr>
        <w:pStyle w:val="NoSpacing"/>
      </w:pPr>
    </w:p>
    <w:p w14:paraId="0A117225" w14:textId="77777777" w:rsidR="00D55038" w:rsidRPr="005254E4" w:rsidRDefault="00D55038" w:rsidP="00D55038">
      <w:pPr>
        <w:pStyle w:val="NoSpacing"/>
      </w:pPr>
      <w:r>
        <w:rPr>
          <w:rFonts w:hint="eastAsia"/>
        </w:rPr>
        <w:t>與</w:t>
      </w:r>
      <w:r>
        <w:rPr>
          <w:rFonts w:hint="eastAsia"/>
        </w:rPr>
        <w:t xml:space="preserve"> 2021 </w:t>
      </w:r>
      <w:r>
        <w:rPr>
          <w:rFonts w:hint="eastAsia"/>
        </w:rPr>
        <w:t>年相比，</w:t>
      </w:r>
      <w:r>
        <w:rPr>
          <w:rFonts w:hint="eastAsia"/>
        </w:rPr>
        <w:t xml:space="preserve">2022 </w:t>
      </w:r>
      <w:r>
        <w:rPr>
          <w:rFonts w:hint="eastAsia"/>
        </w:rPr>
        <w:t>年的索賠和退保總額下降了</w:t>
      </w:r>
      <w:r>
        <w:rPr>
          <w:rFonts w:hint="eastAsia"/>
        </w:rPr>
        <w:t xml:space="preserve"> 14%</w:t>
      </w:r>
      <w:r>
        <w:rPr>
          <w:rFonts w:hint="eastAsia"/>
        </w:rPr>
        <w:t>。減少的原因是報告的死亡索賠數量減少，包括報告的</w:t>
      </w:r>
      <w:r>
        <w:rPr>
          <w:rFonts w:hint="eastAsia"/>
        </w:rPr>
        <w:t xml:space="preserve"> COVID-19 </w:t>
      </w:r>
      <w:r>
        <w:rPr>
          <w:rFonts w:hint="eastAsia"/>
        </w:rPr>
        <w:t>索賠，以及財產索賠減少，部分被略微增加的退保所抵消。公司認為，退保人數的增加是通貨膨脹率上升和</w:t>
      </w:r>
      <w:r>
        <w:rPr>
          <w:rFonts w:hint="eastAsia"/>
        </w:rPr>
        <w:t xml:space="preserve"> 2022 </w:t>
      </w:r>
      <w:r>
        <w:rPr>
          <w:rFonts w:hint="eastAsia"/>
        </w:rPr>
        <w:t>年</w:t>
      </w:r>
      <w:r>
        <w:rPr>
          <w:rFonts w:hint="eastAsia"/>
        </w:rPr>
        <w:t xml:space="preserve"> COVID-19 </w:t>
      </w:r>
      <w:r>
        <w:rPr>
          <w:rFonts w:hint="eastAsia"/>
        </w:rPr>
        <w:t>救濟援助減少的結果，並會產生持久性的負面影響。</w:t>
      </w:r>
    </w:p>
    <w:p w14:paraId="09BED5F7" w14:textId="79232CE2" w:rsidR="00D55038" w:rsidRDefault="00D55038" w:rsidP="008A749D">
      <w:pPr>
        <w:pStyle w:val="NoSpacing"/>
        <w:jc w:val="center"/>
        <w:rPr>
          <w:b/>
          <w:bCs/>
          <w:u w:val="single"/>
        </w:rPr>
      </w:pPr>
    </w:p>
    <w:p w14:paraId="557DD73B" w14:textId="77777777" w:rsidR="00D55038" w:rsidRDefault="00D55038" w:rsidP="008A749D">
      <w:pPr>
        <w:pStyle w:val="NoSpacing"/>
        <w:jc w:val="center"/>
        <w:rPr>
          <w:b/>
          <w:bCs/>
          <w:u w:val="single"/>
        </w:rPr>
      </w:pPr>
    </w:p>
    <w:p w14:paraId="165890BA" w14:textId="77777777" w:rsidR="00320FE1" w:rsidRDefault="00320FE1" w:rsidP="008A749D">
      <w:pPr>
        <w:pStyle w:val="NoSpacing"/>
        <w:jc w:val="center"/>
        <w:rPr>
          <w:b/>
          <w:bCs/>
          <w:u w:val="single"/>
        </w:rPr>
      </w:pPr>
    </w:p>
    <w:p w14:paraId="5B26C429" w14:textId="77777777" w:rsidR="00320FE1" w:rsidRDefault="00320FE1" w:rsidP="008A749D">
      <w:pPr>
        <w:pStyle w:val="NoSpacing"/>
        <w:jc w:val="center"/>
        <w:rPr>
          <w:b/>
          <w:bCs/>
          <w:u w:val="single"/>
        </w:rPr>
      </w:pPr>
    </w:p>
    <w:p w14:paraId="34901835" w14:textId="5EB4DA47" w:rsidR="008A749D" w:rsidRDefault="00C82647" w:rsidP="008A749D">
      <w:pPr>
        <w:pStyle w:val="NoSpacing"/>
        <w:jc w:val="center"/>
        <w:rPr>
          <w:b/>
          <w:bCs/>
          <w:u w:val="single"/>
        </w:rPr>
      </w:pPr>
      <w:r>
        <w:rPr>
          <w:rFonts w:hint="eastAsia"/>
          <w:b/>
          <w:bCs/>
          <w:u w:val="single"/>
        </w:rPr>
        <w:lastRenderedPageBreak/>
        <w:t xml:space="preserve">2022 </w:t>
      </w:r>
      <w:r>
        <w:rPr>
          <w:rFonts w:hint="eastAsia"/>
          <w:b/>
          <w:bCs/>
          <w:u w:val="single"/>
        </w:rPr>
        <w:t>年第四季度財務亮點</w:t>
      </w:r>
    </w:p>
    <w:p w14:paraId="137BE559" w14:textId="46EE3911" w:rsidR="008A749D" w:rsidRDefault="008A749D" w:rsidP="00210550">
      <w:pPr>
        <w:pStyle w:val="NoSpacing"/>
      </w:pPr>
    </w:p>
    <w:p w14:paraId="5680CE4E" w14:textId="51A9B1CB" w:rsidR="0014172E" w:rsidRDefault="009D18B3" w:rsidP="009D18B3">
      <w:pPr>
        <w:pStyle w:val="NoSpacing"/>
      </w:pPr>
      <w:r>
        <w:rPr>
          <w:rFonts w:hint="eastAsia"/>
        </w:rPr>
        <w:t xml:space="preserve">2022 </w:t>
      </w:r>
      <w:r>
        <w:rPr>
          <w:rFonts w:hint="eastAsia"/>
        </w:rPr>
        <w:t>年第四季度的淨收入總計為</w:t>
      </w:r>
      <w:r>
        <w:rPr>
          <w:rFonts w:hint="eastAsia"/>
        </w:rPr>
        <w:t xml:space="preserve"> 340 </w:t>
      </w:r>
      <w:r>
        <w:rPr>
          <w:rFonts w:hint="eastAsia"/>
        </w:rPr>
        <w:t>萬美元，或完全攤薄後</w:t>
      </w:r>
      <w:r>
        <w:rPr>
          <w:rFonts w:hint="eastAsia"/>
        </w:rPr>
        <w:t xml:space="preserve"> A </w:t>
      </w:r>
      <w:r>
        <w:rPr>
          <w:rFonts w:hint="eastAsia"/>
        </w:rPr>
        <w:t>類股每股</w:t>
      </w:r>
      <w:r>
        <w:rPr>
          <w:rFonts w:hint="eastAsia"/>
        </w:rPr>
        <w:t xml:space="preserve"> 0.07 </w:t>
      </w:r>
      <w:r>
        <w:rPr>
          <w:rFonts w:hint="eastAsia"/>
        </w:rPr>
        <w:t>美元，相比之下，去年同期的淨收入為</w:t>
      </w:r>
      <w:r>
        <w:rPr>
          <w:rFonts w:hint="eastAsia"/>
        </w:rPr>
        <w:t xml:space="preserve"> 3810 </w:t>
      </w:r>
      <w:r>
        <w:rPr>
          <w:rFonts w:hint="eastAsia"/>
        </w:rPr>
        <w:t>萬美元，或完全攤薄後</w:t>
      </w:r>
      <w:r>
        <w:rPr>
          <w:rFonts w:hint="eastAsia"/>
        </w:rPr>
        <w:t xml:space="preserve"> A </w:t>
      </w:r>
      <w:r>
        <w:rPr>
          <w:rFonts w:hint="eastAsia"/>
        </w:rPr>
        <w:t>類股每股</w:t>
      </w:r>
      <w:r>
        <w:rPr>
          <w:rFonts w:hint="eastAsia"/>
        </w:rPr>
        <w:t xml:space="preserve"> 0.77 </w:t>
      </w:r>
      <w:r>
        <w:rPr>
          <w:rFonts w:hint="eastAsia"/>
        </w:rPr>
        <w:t>美元。該減少與上述</w:t>
      </w:r>
      <w:r>
        <w:rPr>
          <w:rFonts w:hint="eastAsia"/>
        </w:rPr>
        <w:t xml:space="preserve"> 2021 </w:t>
      </w:r>
      <w:r>
        <w:rPr>
          <w:rFonts w:hint="eastAsia"/>
        </w:rPr>
        <w:t>年第四季度的一次性項目有關，因此難以進行同比比較。</w:t>
      </w:r>
    </w:p>
    <w:p w14:paraId="6122F000" w14:textId="2ECDB6C8" w:rsidR="00665F39" w:rsidRDefault="00665F39" w:rsidP="00210550">
      <w:pPr>
        <w:pStyle w:val="NoSpacing"/>
      </w:pPr>
    </w:p>
    <w:p w14:paraId="592131C6" w14:textId="60FAC510" w:rsidR="00BE0436" w:rsidRDefault="00BE0436" w:rsidP="00A4066C">
      <w:pPr>
        <w:pStyle w:val="NoSpacing"/>
      </w:pPr>
      <w:r>
        <w:rPr>
          <w:rFonts w:hint="eastAsia"/>
        </w:rPr>
        <w:t xml:space="preserve">2022 </w:t>
      </w:r>
      <w:r>
        <w:rPr>
          <w:rFonts w:hint="eastAsia"/>
        </w:rPr>
        <w:t>年第四季度的保費總收入為</w:t>
      </w:r>
      <w:r>
        <w:rPr>
          <w:rFonts w:hint="eastAsia"/>
        </w:rPr>
        <w:t xml:space="preserve"> 4830 </w:t>
      </w:r>
      <w:r>
        <w:rPr>
          <w:rFonts w:hint="eastAsia"/>
        </w:rPr>
        <w:t>萬美元，而去年同期為</w:t>
      </w:r>
      <w:r>
        <w:rPr>
          <w:rFonts w:hint="eastAsia"/>
        </w:rPr>
        <w:t xml:space="preserve"> 4950 </w:t>
      </w:r>
      <w:r>
        <w:rPr>
          <w:rFonts w:hint="eastAsia"/>
        </w:rPr>
        <w:t>萬美元。減少的原因是續保保費下降，部分被人壽保險部門強勁的首年保費所抵消。</w:t>
      </w:r>
    </w:p>
    <w:p w14:paraId="0CEA68AD" w14:textId="77777777" w:rsidR="00B71ECE" w:rsidRDefault="00B71ECE" w:rsidP="00210550">
      <w:pPr>
        <w:pStyle w:val="NoSpacing"/>
      </w:pPr>
    </w:p>
    <w:p w14:paraId="4732A857" w14:textId="6FDFE504" w:rsidR="009E238C" w:rsidRDefault="00824915" w:rsidP="00210550">
      <w:pPr>
        <w:pStyle w:val="NoSpacing"/>
      </w:pPr>
      <w:r>
        <w:rPr>
          <w:rFonts w:hint="eastAsia"/>
        </w:rPr>
        <w:t>與去年同期相比，首年保費收入增長</w:t>
      </w:r>
      <w:r>
        <w:rPr>
          <w:rFonts w:hint="eastAsia"/>
        </w:rPr>
        <w:t xml:space="preserve"> 14% </w:t>
      </w:r>
      <w:r>
        <w:rPr>
          <w:rFonts w:hint="eastAsia"/>
        </w:rPr>
        <w:t>至</w:t>
      </w:r>
      <w:r>
        <w:rPr>
          <w:rFonts w:hint="eastAsia"/>
        </w:rPr>
        <w:t xml:space="preserve"> 540 </w:t>
      </w:r>
      <w:r>
        <w:rPr>
          <w:rFonts w:hint="eastAsia"/>
        </w:rPr>
        <w:t>萬美元，這主要得益於人壽保險部門強勁的新產品銷售。新壽險產品和產品升級對新壽險發行量和保單數量均產生了深遠的積極影響，與去年同期相比，</w:t>
      </w:r>
      <w:r>
        <w:rPr>
          <w:rFonts w:hint="eastAsia"/>
        </w:rPr>
        <w:t xml:space="preserve">2022 </w:t>
      </w:r>
      <w:r>
        <w:rPr>
          <w:rFonts w:hint="eastAsia"/>
        </w:rPr>
        <w:t>年第四季度分別增長了</w:t>
      </w:r>
      <w:r>
        <w:rPr>
          <w:rFonts w:hint="eastAsia"/>
        </w:rPr>
        <w:t xml:space="preserve"> 125% </w:t>
      </w:r>
      <w:r>
        <w:rPr>
          <w:rFonts w:hint="eastAsia"/>
        </w:rPr>
        <w:t>和</w:t>
      </w:r>
      <w:r>
        <w:rPr>
          <w:rFonts w:hint="eastAsia"/>
        </w:rPr>
        <w:t xml:space="preserve"> 40%</w:t>
      </w:r>
      <w:r>
        <w:rPr>
          <w:rFonts w:hint="eastAsia"/>
        </w:rPr>
        <w:t>。</w:t>
      </w:r>
    </w:p>
    <w:p w14:paraId="4EA0DB3C" w14:textId="77777777" w:rsidR="009E238C" w:rsidRDefault="009E238C" w:rsidP="00210550">
      <w:pPr>
        <w:pStyle w:val="NoSpacing"/>
      </w:pPr>
    </w:p>
    <w:p w14:paraId="618A90CD" w14:textId="37FE5C4E" w:rsidR="00026B24" w:rsidRDefault="00026B24" w:rsidP="00026B24">
      <w:pPr>
        <w:pStyle w:val="NoSpacing"/>
      </w:pPr>
      <w:r>
        <w:rPr>
          <w:rFonts w:hint="eastAsia"/>
        </w:rPr>
        <w:t xml:space="preserve">2022 </w:t>
      </w:r>
      <w:r>
        <w:rPr>
          <w:rFonts w:hint="eastAsia"/>
        </w:rPr>
        <w:t>年第四季度的續保保費收入為</w:t>
      </w:r>
      <w:r>
        <w:rPr>
          <w:rFonts w:hint="eastAsia"/>
        </w:rPr>
        <w:t xml:space="preserve"> 4280 </w:t>
      </w:r>
      <w:r>
        <w:rPr>
          <w:rFonts w:hint="eastAsia"/>
        </w:rPr>
        <w:t>萬美元，而去年同期為</w:t>
      </w:r>
      <w:r>
        <w:rPr>
          <w:rFonts w:hint="eastAsia"/>
        </w:rPr>
        <w:t xml:space="preserve"> 4480 </w:t>
      </w:r>
      <w:r>
        <w:rPr>
          <w:rFonts w:hint="eastAsia"/>
        </w:rPr>
        <w:t>萬美元，這是由於過去幾年退保增加的殘餘影響，導致人壽保險部門和家庭服務保險部門均出現下降。</w:t>
      </w:r>
    </w:p>
    <w:p w14:paraId="7CD72045" w14:textId="77777777" w:rsidR="005D13E7" w:rsidRDefault="005D13E7" w:rsidP="00210550">
      <w:pPr>
        <w:pStyle w:val="NoSpacing"/>
      </w:pPr>
    </w:p>
    <w:p w14:paraId="5E9524D7" w14:textId="26AAAF7A" w:rsidR="00111E74" w:rsidRDefault="0057721D" w:rsidP="0057721D">
      <w:pPr>
        <w:pStyle w:val="NoSpacing"/>
      </w:pPr>
      <w:r>
        <w:rPr>
          <w:rFonts w:hint="eastAsia"/>
        </w:rPr>
        <w:t xml:space="preserve">2022 </w:t>
      </w:r>
      <w:r>
        <w:rPr>
          <w:rFonts w:hint="eastAsia"/>
        </w:rPr>
        <w:t>年第四季度的索賠和退保福利總額為</w:t>
      </w:r>
      <w:r>
        <w:rPr>
          <w:rFonts w:hint="eastAsia"/>
        </w:rPr>
        <w:t xml:space="preserve"> 3370 </w:t>
      </w:r>
      <w:r>
        <w:rPr>
          <w:rFonts w:hint="eastAsia"/>
        </w:rPr>
        <w:t>萬美元，而去年同期為</w:t>
      </w:r>
      <w:r>
        <w:rPr>
          <w:rFonts w:hint="eastAsia"/>
        </w:rPr>
        <w:t xml:space="preserve"> 2800 </w:t>
      </w:r>
      <w:r>
        <w:rPr>
          <w:rFonts w:hint="eastAsia"/>
        </w:rPr>
        <w:t>萬美元。增加的主要原因是公司國際業務中到期養老保險和死亡索賠的增加，部分被退保的減少所抵消。</w:t>
      </w:r>
    </w:p>
    <w:p w14:paraId="20033A59" w14:textId="77777777" w:rsidR="00111E74" w:rsidRDefault="00111E74" w:rsidP="0057721D">
      <w:pPr>
        <w:pStyle w:val="NoSpacing"/>
      </w:pPr>
    </w:p>
    <w:p w14:paraId="3BAAD6B8" w14:textId="175E8F26" w:rsidR="0057721D" w:rsidRPr="00210550" w:rsidRDefault="0057721D" w:rsidP="00233D00">
      <w:pPr>
        <w:autoSpaceDE w:val="0"/>
        <w:autoSpaceDN w:val="0"/>
        <w:adjustRightInd w:val="0"/>
        <w:spacing w:after="0" w:line="240" w:lineRule="auto"/>
      </w:pPr>
      <w:r>
        <w:rPr>
          <w:rFonts w:hint="eastAsia"/>
        </w:rPr>
        <w:t xml:space="preserve">2022 </w:t>
      </w:r>
      <w:r>
        <w:rPr>
          <w:rFonts w:hint="eastAsia"/>
        </w:rPr>
        <w:t>年第四季度的一般費用為</w:t>
      </w:r>
      <w:r>
        <w:rPr>
          <w:rFonts w:hint="eastAsia"/>
        </w:rPr>
        <w:t xml:space="preserve"> 1210 </w:t>
      </w:r>
      <w:r>
        <w:rPr>
          <w:rFonts w:hint="eastAsia"/>
        </w:rPr>
        <w:t>萬美元，而去年同期為</w:t>
      </w:r>
      <w:r>
        <w:rPr>
          <w:rFonts w:hint="eastAsia"/>
        </w:rPr>
        <w:t xml:space="preserve"> 990 </w:t>
      </w:r>
      <w:r>
        <w:rPr>
          <w:rFonts w:hint="eastAsia"/>
        </w:rPr>
        <w:t>萬美元。增加的主要原因是與增長相關的投資和公司將國際業務轉移到波多黎各相關的費用。</w:t>
      </w:r>
    </w:p>
    <w:p w14:paraId="28E2BE77" w14:textId="66B4EF35" w:rsidR="00017AEC" w:rsidRDefault="00017AEC" w:rsidP="00C8476A">
      <w:pPr>
        <w:pStyle w:val="NoSpacing"/>
        <w:jc w:val="center"/>
        <w:rPr>
          <w:b/>
          <w:bCs/>
          <w:u w:val="single"/>
        </w:rPr>
      </w:pPr>
    </w:p>
    <w:p w14:paraId="4649A057" w14:textId="77777777" w:rsidR="005C6CD0" w:rsidRDefault="005C6CD0" w:rsidP="00C8476A">
      <w:pPr>
        <w:pStyle w:val="NoSpacing"/>
        <w:jc w:val="center"/>
        <w:rPr>
          <w:b/>
          <w:bCs/>
          <w:u w:val="single"/>
        </w:rPr>
      </w:pPr>
    </w:p>
    <w:p w14:paraId="048EFC0F" w14:textId="414D1386" w:rsidR="00C8476A" w:rsidRDefault="00C8476A" w:rsidP="00C8476A">
      <w:pPr>
        <w:pStyle w:val="NoSpacing"/>
        <w:jc w:val="center"/>
      </w:pPr>
      <w:r>
        <w:rPr>
          <w:rFonts w:hint="eastAsia"/>
          <w:b/>
          <w:bCs/>
          <w:u w:val="single"/>
        </w:rPr>
        <w:t xml:space="preserve">2022 </w:t>
      </w:r>
      <w:r>
        <w:rPr>
          <w:rFonts w:hint="eastAsia"/>
          <w:b/>
          <w:bCs/>
          <w:u w:val="single"/>
        </w:rPr>
        <w:t>年第四季度部門業績和亮點</w:t>
      </w:r>
    </w:p>
    <w:p w14:paraId="4F5021FA" w14:textId="77777777" w:rsidR="00C8476A" w:rsidRDefault="00C8476A" w:rsidP="00A4554E">
      <w:pPr>
        <w:pStyle w:val="NoSpacing"/>
      </w:pPr>
    </w:p>
    <w:p w14:paraId="7EE3A1B8" w14:textId="7142D728" w:rsidR="007D264A" w:rsidRPr="007D264A" w:rsidRDefault="007D264A" w:rsidP="00A4554E">
      <w:pPr>
        <w:pStyle w:val="NoSpacing"/>
        <w:rPr>
          <w:b/>
          <w:bCs/>
        </w:rPr>
      </w:pPr>
      <w:r>
        <w:rPr>
          <w:rFonts w:hint="eastAsia"/>
          <w:b/>
          <w:bCs/>
        </w:rPr>
        <w:t>人壽保險</w:t>
      </w:r>
    </w:p>
    <w:p w14:paraId="4CC5836B" w14:textId="0E8D4949" w:rsidR="00671E02" w:rsidRDefault="00C66C80" w:rsidP="00D16C3F">
      <w:pPr>
        <w:pStyle w:val="NoSpacing"/>
      </w:pPr>
      <w:r>
        <w:rPr>
          <w:rFonts w:hint="eastAsia"/>
        </w:rPr>
        <w:t>與去年同期相比，</w:t>
      </w:r>
      <w:r>
        <w:rPr>
          <w:rFonts w:hint="eastAsia"/>
        </w:rPr>
        <w:t xml:space="preserve">2022 </w:t>
      </w:r>
      <w:r>
        <w:rPr>
          <w:rFonts w:hint="eastAsia"/>
        </w:rPr>
        <w:t>年第四季度人壽保險業務的保費總收入下降</w:t>
      </w:r>
      <w:r>
        <w:rPr>
          <w:rFonts w:hint="eastAsia"/>
        </w:rPr>
        <w:t xml:space="preserve"> 1% </w:t>
      </w:r>
      <w:r>
        <w:rPr>
          <w:rFonts w:hint="eastAsia"/>
        </w:rPr>
        <w:t>至</w:t>
      </w:r>
      <w:r>
        <w:rPr>
          <w:rFonts w:hint="eastAsia"/>
        </w:rPr>
        <w:t xml:space="preserve"> 3620 </w:t>
      </w:r>
      <w:r>
        <w:rPr>
          <w:rFonts w:hint="eastAsia"/>
        </w:rPr>
        <w:t>萬美元，原因是強勁的首年保費被續保保費下降所抵消。</w:t>
      </w:r>
    </w:p>
    <w:p w14:paraId="13C38F61" w14:textId="77777777" w:rsidR="00671E02" w:rsidRDefault="00671E02" w:rsidP="00D16C3F">
      <w:pPr>
        <w:pStyle w:val="NoSpacing"/>
      </w:pPr>
    </w:p>
    <w:p w14:paraId="0785968E" w14:textId="0719F37F" w:rsidR="007D47EA" w:rsidRDefault="00C315A4" w:rsidP="00D16C3F">
      <w:pPr>
        <w:pStyle w:val="NoSpacing"/>
      </w:pPr>
      <w:r>
        <w:rPr>
          <w:rFonts w:hint="eastAsia"/>
        </w:rPr>
        <w:t>與去年同期相比，</w:t>
      </w:r>
      <w:r>
        <w:rPr>
          <w:rFonts w:hint="eastAsia"/>
        </w:rPr>
        <w:t xml:space="preserve">2022 </w:t>
      </w:r>
      <w:r>
        <w:rPr>
          <w:rFonts w:hint="eastAsia"/>
        </w:rPr>
        <w:t>年第四季度的首年保費增長了</w:t>
      </w:r>
      <w:r>
        <w:rPr>
          <w:rFonts w:hint="eastAsia"/>
        </w:rPr>
        <w:t xml:space="preserve"> 24%</w:t>
      </w:r>
      <w:r>
        <w:rPr>
          <w:rFonts w:hint="eastAsia"/>
        </w:rPr>
        <w:t>，這得益於公司新的</w:t>
      </w:r>
      <w:r>
        <w:rPr>
          <w:rFonts w:hint="eastAsia"/>
        </w:rPr>
        <w:t xml:space="preserve"> Whole Life 360 </w:t>
      </w:r>
      <w:r>
        <w:rPr>
          <w:rFonts w:hint="eastAsia"/>
        </w:rPr>
        <w:t>產品的持續強勁銷售，以及對重大疾病產品的需求增加。新的終身壽險產品對首年保費銷售額產生了重大影響，推動了連續三個季度的同比增長。</w:t>
      </w:r>
    </w:p>
    <w:p w14:paraId="38680A24" w14:textId="03E4A331" w:rsidR="00671E02" w:rsidRDefault="009B4D6F" w:rsidP="00D16C3F">
      <w:pPr>
        <w:pStyle w:val="NoSpacing"/>
      </w:pPr>
      <w:r>
        <w:rPr>
          <w:rFonts w:hint="eastAsia"/>
        </w:rPr>
        <w:t xml:space="preserve"> </w:t>
      </w:r>
    </w:p>
    <w:p w14:paraId="02ED9E24" w14:textId="70AA1313" w:rsidR="00DF06CB" w:rsidRDefault="00671E02" w:rsidP="00671E02">
      <w:pPr>
        <w:pStyle w:val="NoSpacing"/>
      </w:pPr>
      <w:r>
        <w:rPr>
          <w:rFonts w:hint="eastAsia"/>
        </w:rPr>
        <w:t>與去年同期相比，</w:t>
      </w:r>
      <w:r>
        <w:rPr>
          <w:rFonts w:hint="eastAsia"/>
        </w:rPr>
        <w:t xml:space="preserve">2022 </w:t>
      </w:r>
      <w:r>
        <w:rPr>
          <w:rFonts w:hint="eastAsia"/>
        </w:rPr>
        <w:t>年第四季度的續保保費下降了</w:t>
      </w:r>
      <w:r>
        <w:rPr>
          <w:rFonts w:hint="eastAsia"/>
        </w:rPr>
        <w:t xml:space="preserve"> 4%</w:t>
      </w:r>
      <w:r>
        <w:rPr>
          <w:rFonts w:hint="eastAsia"/>
        </w:rPr>
        <w:t>。續保保費的減少主要與計畫到期養老保險的增加和過去幾年退保增加的剩餘影響有關，這大大抵消了本季度強勁的銷售努力和公司持續的保險保留努力。</w:t>
      </w:r>
    </w:p>
    <w:p w14:paraId="3A653751" w14:textId="72113CDC" w:rsidR="00DF06CB" w:rsidRDefault="00DF06CB" w:rsidP="00D16C3F">
      <w:pPr>
        <w:pStyle w:val="NoSpacing"/>
      </w:pPr>
    </w:p>
    <w:p w14:paraId="1FD6E934" w14:textId="47AAC067" w:rsidR="006F6AF3" w:rsidRPr="009F71A4" w:rsidRDefault="006F6AF3" w:rsidP="006F6AF3">
      <w:pPr>
        <w:pStyle w:val="NoSpacing"/>
      </w:pPr>
      <w:r>
        <w:rPr>
          <w:rFonts w:hint="eastAsia"/>
        </w:rPr>
        <w:t xml:space="preserve">2022 </w:t>
      </w:r>
      <w:r>
        <w:rPr>
          <w:rFonts w:hint="eastAsia"/>
        </w:rPr>
        <w:t>年第四季度的索賠和退保福利總額為</w:t>
      </w:r>
      <w:r>
        <w:rPr>
          <w:rFonts w:hint="eastAsia"/>
        </w:rPr>
        <w:t xml:space="preserve"> 2780 </w:t>
      </w:r>
      <w:r>
        <w:rPr>
          <w:rFonts w:hint="eastAsia"/>
        </w:rPr>
        <w:t>萬美元，而去年同期為</w:t>
      </w:r>
      <w:r>
        <w:rPr>
          <w:rFonts w:hint="eastAsia"/>
        </w:rPr>
        <w:t xml:space="preserve"> 2200 </w:t>
      </w:r>
      <w:r>
        <w:rPr>
          <w:rFonts w:hint="eastAsia"/>
        </w:rPr>
        <w:t>萬美元。增加的主要原因是到期養老保險的增加和死亡索賠福利的增加，部分被退保福利減少所抵消。</w:t>
      </w:r>
    </w:p>
    <w:p w14:paraId="38B046BC" w14:textId="77777777" w:rsidR="00C66C80" w:rsidRDefault="00C66C80" w:rsidP="00D16C3F">
      <w:pPr>
        <w:pStyle w:val="NoSpacing"/>
      </w:pPr>
    </w:p>
    <w:p w14:paraId="2A2A9F8C" w14:textId="2FE31E47" w:rsidR="009A6697" w:rsidRDefault="00C82647" w:rsidP="00DD30A2">
      <w:pPr>
        <w:pStyle w:val="NoSpacing"/>
      </w:pPr>
      <w:r>
        <w:rPr>
          <w:rFonts w:hint="eastAsia"/>
          <w:b/>
          <w:bCs/>
        </w:rPr>
        <w:t>家庭服務保險</w:t>
      </w:r>
      <w:r>
        <w:rPr>
          <w:rFonts w:hint="eastAsia"/>
        </w:rPr>
        <w:t xml:space="preserve"> </w:t>
      </w:r>
    </w:p>
    <w:p w14:paraId="10089A01" w14:textId="5A6EEE93" w:rsidR="003D1B0E" w:rsidRDefault="009A6697" w:rsidP="00A64777">
      <w:pPr>
        <w:pStyle w:val="NoSpacing"/>
      </w:pPr>
      <w:r>
        <w:rPr>
          <w:rFonts w:hint="eastAsia"/>
        </w:rPr>
        <w:t xml:space="preserve">2022 </w:t>
      </w:r>
      <w:r>
        <w:rPr>
          <w:rFonts w:hint="eastAsia"/>
        </w:rPr>
        <w:t>年第四季度家庭服務部門的保費總收入為</w:t>
      </w:r>
      <w:r>
        <w:rPr>
          <w:rFonts w:hint="eastAsia"/>
        </w:rPr>
        <w:t xml:space="preserve"> 1210 </w:t>
      </w:r>
      <w:r>
        <w:rPr>
          <w:rFonts w:hint="eastAsia"/>
        </w:rPr>
        <w:t>萬美元，而去年同期為</w:t>
      </w:r>
      <w:r>
        <w:rPr>
          <w:rFonts w:hint="eastAsia"/>
        </w:rPr>
        <w:t xml:space="preserve"> 1290 </w:t>
      </w:r>
      <w:r>
        <w:rPr>
          <w:rFonts w:hint="eastAsia"/>
        </w:rPr>
        <w:t>萬美元。</w:t>
      </w:r>
    </w:p>
    <w:p w14:paraId="2E585F14" w14:textId="77777777" w:rsidR="003D1B0E" w:rsidRDefault="003D1B0E" w:rsidP="00A64777">
      <w:pPr>
        <w:pStyle w:val="NoSpacing"/>
      </w:pPr>
    </w:p>
    <w:p w14:paraId="6A8642F3" w14:textId="14ABCA2E" w:rsidR="003E211A" w:rsidRDefault="00A64777" w:rsidP="00A64777">
      <w:pPr>
        <w:pStyle w:val="NoSpacing"/>
      </w:pPr>
      <w:r>
        <w:rPr>
          <w:rFonts w:hint="eastAsia"/>
        </w:rPr>
        <w:t xml:space="preserve">2022 </w:t>
      </w:r>
      <w:r>
        <w:rPr>
          <w:rFonts w:hint="eastAsia"/>
        </w:rPr>
        <w:t>年第四季度的首年保費為</w:t>
      </w:r>
      <w:r>
        <w:rPr>
          <w:rFonts w:hint="eastAsia"/>
        </w:rPr>
        <w:t xml:space="preserve"> 140 </w:t>
      </w:r>
      <w:r>
        <w:rPr>
          <w:rFonts w:hint="eastAsia"/>
        </w:rPr>
        <w:t>萬美元，而去年同期為</w:t>
      </w:r>
      <w:r>
        <w:rPr>
          <w:rFonts w:hint="eastAsia"/>
        </w:rPr>
        <w:t xml:space="preserve"> 150 </w:t>
      </w:r>
      <w:r>
        <w:rPr>
          <w:rFonts w:hint="eastAsia"/>
        </w:rPr>
        <w:t>萬美元。下降的主要原因是基於風險的財產保險保費收入持續減少以及影響公司客戶群的通脹壓力。</w:t>
      </w:r>
    </w:p>
    <w:p w14:paraId="4DB6E51C" w14:textId="77777777" w:rsidR="003E211A" w:rsidRDefault="003E211A" w:rsidP="00A64777">
      <w:pPr>
        <w:pStyle w:val="NoSpacing"/>
      </w:pPr>
    </w:p>
    <w:p w14:paraId="523B41EC" w14:textId="099F05D7" w:rsidR="00A64777" w:rsidRDefault="00A64777" w:rsidP="00A64777">
      <w:pPr>
        <w:pStyle w:val="NoSpacing"/>
      </w:pPr>
      <w:r>
        <w:rPr>
          <w:rFonts w:hint="eastAsia"/>
        </w:rPr>
        <w:lastRenderedPageBreak/>
        <w:t>儘管首年保費總體下降，但公司將戰略重點放在旨在增加保單面額的銷售活動上，導致新簽發的人壽保險增加了</w:t>
      </w:r>
      <w:r>
        <w:rPr>
          <w:rFonts w:hint="eastAsia"/>
        </w:rPr>
        <w:t xml:space="preserve"> 4400 </w:t>
      </w:r>
      <w:r>
        <w:rPr>
          <w:rFonts w:hint="eastAsia"/>
        </w:rPr>
        <w:t>萬美元，即</w:t>
      </w:r>
      <w:r>
        <w:rPr>
          <w:rFonts w:hint="eastAsia"/>
        </w:rPr>
        <w:t xml:space="preserve"> 126%</w:t>
      </w:r>
      <w:r>
        <w:rPr>
          <w:rFonts w:hint="eastAsia"/>
        </w:rPr>
        <w:t>。公司認為，這是因為新的終身壽險產品持續受到關注的結果，與</w:t>
      </w:r>
      <w:r>
        <w:rPr>
          <w:rFonts w:hint="eastAsia"/>
        </w:rPr>
        <w:t xml:space="preserve"> 2021 </w:t>
      </w:r>
      <w:r>
        <w:rPr>
          <w:rFonts w:hint="eastAsia"/>
        </w:rPr>
        <w:t>年第四季度相比，該產品已顯著促進了該部門簽發的保單數量，增長了</w:t>
      </w:r>
      <w:r>
        <w:rPr>
          <w:rFonts w:hint="eastAsia"/>
        </w:rPr>
        <w:t xml:space="preserve"> 43%</w:t>
      </w:r>
      <w:r>
        <w:rPr>
          <w:rFonts w:hint="eastAsia"/>
        </w:rPr>
        <w:t>。</w:t>
      </w:r>
    </w:p>
    <w:p w14:paraId="56F39231" w14:textId="77777777" w:rsidR="00A64777" w:rsidRDefault="00A64777" w:rsidP="00A64777">
      <w:pPr>
        <w:pStyle w:val="NoSpacing"/>
      </w:pPr>
    </w:p>
    <w:p w14:paraId="74760480" w14:textId="34AFAD26" w:rsidR="00C62088" w:rsidRDefault="00A64777" w:rsidP="00C62088">
      <w:pPr>
        <w:pStyle w:val="NoSpacing"/>
      </w:pPr>
      <w:r>
        <w:rPr>
          <w:rFonts w:hint="eastAsia"/>
        </w:rPr>
        <w:t xml:space="preserve">2022 </w:t>
      </w:r>
      <w:r>
        <w:rPr>
          <w:rFonts w:hint="eastAsia"/>
        </w:rPr>
        <w:t>年第四季度的續保保費為</w:t>
      </w:r>
      <w:r>
        <w:rPr>
          <w:rFonts w:hint="eastAsia"/>
        </w:rPr>
        <w:t xml:space="preserve"> 1060 </w:t>
      </w:r>
      <w:r>
        <w:rPr>
          <w:rFonts w:hint="eastAsia"/>
        </w:rPr>
        <w:t>萬美元，而去年同期為</w:t>
      </w:r>
      <w:r>
        <w:rPr>
          <w:rFonts w:hint="eastAsia"/>
        </w:rPr>
        <w:t xml:space="preserve"> 1140 </w:t>
      </w:r>
      <w:r>
        <w:rPr>
          <w:rFonts w:hint="eastAsia"/>
        </w:rPr>
        <w:t>萬美元。與</w:t>
      </w:r>
      <w:r>
        <w:rPr>
          <w:rFonts w:hint="eastAsia"/>
        </w:rPr>
        <w:t xml:space="preserve"> 2021 </w:t>
      </w:r>
      <w:r>
        <w:rPr>
          <w:rFonts w:hint="eastAsia"/>
        </w:rPr>
        <w:t>年第四季度相比，減少的主要原因是公司財產保險業務的巨災再保險成本增加。</w:t>
      </w:r>
    </w:p>
    <w:p w14:paraId="4AC1750A" w14:textId="1CF1EEDA" w:rsidR="000045FC" w:rsidRDefault="000045FC" w:rsidP="00DD30A2">
      <w:pPr>
        <w:pStyle w:val="NoSpacing"/>
      </w:pPr>
    </w:p>
    <w:p w14:paraId="62387576" w14:textId="774289E0" w:rsidR="000045FC" w:rsidRDefault="000045FC" w:rsidP="00DD30A2">
      <w:pPr>
        <w:pStyle w:val="NoSpacing"/>
      </w:pPr>
      <w:r>
        <w:rPr>
          <w:rFonts w:hint="eastAsia"/>
        </w:rPr>
        <w:t>與去年同期相比，</w:t>
      </w:r>
      <w:r>
        <w:rPr>
          <w:rFonts w:hint="eastAsia"/>
        </w:rPr>
        <w:t xml:space="preserve">2022 </w:t>
      </w:r>
      <w:r>
        <w:rPr>
          <w:rFonts w:hint="eastAsia"/>
        </w:rPr>
        <w:t>年第四季度的索賠和退保福利總額下降了</w:t>
      </w:r>
      <w:r>
        <w:rPr>
          <w:rFonts w:hint="eastAsia"/>
        </w:rPr>
        <w:t xml:space="preserve"> 2%</w:t>
      </w:r>
      <w:r>
        <w:rPr>
          <w:rFonts w:hint="eastAsia"/>
        </w:rPr>
        <w:t>。減少的原因是報告的死亡索賠數量減少和財產索賠減少，部分被退保率略微增加所抵消。</w:t>
      </w:r>
    </w:p>
    <w:p w14:paraId="659AE79C" w14:textId="77777777" w:rsidR="005254E4" w:rsidRDefault="005254E4" w:rsidP="00D16C3F">
      <w:pPr>
        <w:pStyle w:val="NoSpacing"/>
        <w:rPr>
          <w:b/>
          <w:bCs/>
        </w:rPr>
      </w:pPr>
    </w:p>
    <w:p w14:paraId="42C0634B" w14:textId="58B2DD38" w:rsidR="00C02935" w:rsidRDefault="00C82647" w:rsidP="00D16C3F">
      <w:pPr>
        <w:pStyle w:val="NoSpacing"/>
        <w:rPr>
          <w:b/>
          <w:bCs/>
        </w:rPr>
      </w:pPr>
      <w:r>
        <w:rPr>
          <w:rFonts w:hint="eastAsia"/>
          <w:b/>
          <w:bCs/>
        </w:rPr>
        <w:t>投資</w:t>
      </w:r>
    </w:p>
    <w:p w14:paraId="0719F7F0" w14:textId="2015D33F" w:rsidR="00D232FC" w:rsidRDefault="00D232FC" w:rsidP="007363A7">
      <w:pPr>
        <w:pStyle w:val="NoSpacing"/>
      </w:pPr>
      <w:r>
        <w:rPr>
          <w:rFonts w:hint="eastAsia"/>
        </w:rPr>
        <w:t xml:space="preserve">2022 </w:t>
      </w:r>
      <w:r>
        <w:rPr>
          <w:rFonts w:hint="eastAsia"/>
        </w:rPr>
        <w:t>年第四季度淨投資收益同比增長</w:t>
      </w:r>
      <w:r>
        <w:rPr>
          <w:rFonts w:hint="eastAsia"/>
        </w:rPr>
        <w:t xml:space="preserve"> 13% </w:t>
      </w:r>
      <w:r>
        <w:rPr>
          <w:rFonts w:hint="eastAsia"/>
        </w:rPr>
        <w:t>至</w:t>
      </w:r>
      <w:r>
        <w:rPr>
          <w:rFonts w:hint="eastAsia"/>
        </w:rPr>
        <w:t xml:space="preserve"> 1740 </w:t>
      </w:r>
      <w:r>
        <w:rPr>
          <w:rFonts w:hint="eastAsia"/>
        </w:rPr>
        <w:t>萬美元。與</w:t>
      </w:r>
      <w:r>
        <w:rPr>
          <w:rFonts w:hint="eastAsia"/>
        </w:rPr>
        <w:t xml:space="preserve"> 2021 </w:t>
      </w:r>
      <w:r>
        <w:rPr>
          <w:rFonts w:hint="eastAsia"/>
        </w:rPr>
        <w:t>年第四季度相比，淨投資收益的增加主要是由於有限合夥企業的收入增加，以及公司不斷增長的多元化投資資產基礎以更高的利率進行再投資。</w:t>
      </w:r>
    </w:p>
    <w:p w14:paraId="17025047" w14:textId="5B0FB22C" w:rsidR="00D232FC" w:rsidRDefault="00D232FC" w:rsidP="00FC0322">
      <w:pPr>
        <w:pStyle w:val="NoSpacing"/>
      </w:pPr>
    </w:p>
    <w:p w14:paraId="32BDE238" w14:textId="2B75F7DB" w:rsidR="00FC0322" w:rsidRDefault="00B32597" w:rsidP="00FC0322">
      <w:pPr>
        <w:pStyle w:val="NoSpacing"/>
      </w:pPr>
      <w:r>
        <w:rPr>
          <w:rFonts w:hint="eastAsia"/>
        </w:rPr>
        <w:t xml:space="preserve">2022 </w:t>
      </w:r>
      <w:r>
        <w:rPr>
          <w:rFonts w:hint="eastAsia"/>
        </w:rPr>
        <w:t>年的淨投資收益為</w:t>
      </w:r>
      <w:r>
        <w:rPr>
          <w:rFonts w:hint="eastAsia"/>
        </w:rPr>
        <w:t xml:space="preserve"> 6540 </w:t>
      </w:r>
      <w:r>
        <w:rPr>
          <w:rFonts w:hint="eastAsia"/>
        </w:rPr>
        <w:t>萬美元，比</w:t>
      </w:r>
      <w:r>
        <w:rPr>
          <w:rFonts w:hint="eastAsia"/>
        </w:rPr>
        <w:t xml:space="preserve"> 2021 </w:t>
      </w:r>
      <w:r>
        <w:rPr>
          <w:rFonts w:hint="eastAsia"/>
        </w:rPr>
        <w:t>年的</w:t>
      </w:r>
      <w:r>
        <w:rPr>
          <w:rFonts w:hint="eastAsia"/>
        </w:rPr>
        <w:t xml:space="preserve"> 6150 </w:t>
      </w:r>
      <w:r>
        <w:rPr>
          <w:rFonts w:hint="eastAsia"/>
        </w:rPr>
        <w:t>萬美元有所改善。淨投資收入的增加是由於有限合夥企業和整體固定期限投資的收入增加。</w:t>
      </w:r>
      <w:r>
        <w:rPr>
          <w:rFonts w:hint="eastAsia"/>
        </w:rPr>
        <w:t xml:space="preserve">2022 </w:t>
      </w:r>
      <w:r>
        <w:rPr>
          <w:rFonts w:hint="eastAsia"/>
        </w:rPr>
        <w:t>年投資組合的平均稅前收益率為</w:t>
      </w:r>
      <w:r>
        <w:rPr>
          <w:rFonts w:hint="eastAsia"/>
        </w:rPr>
        <w:t xml:space="preserve"> 4.40%</w:t>
      </w:r>
      <w:r>
        <w:rPr>
          <w:rFonts w:hint="eastAsia"/>
        </w:rPr>
        <w:t>，較</w:t>
      </w:r>
      <w:r>
        <w:rPr>
          <w:rFonts w:hint="eastAsia"/>
        </w:rPr>
        <w:t xml:space="preserve"> 2021 </w:t>
      </w:r>
      <w:r>
        <w:rPr>
          <w:rFonts w:hint="eastAsia"/>
        </w:rPr>
        <w:t>年的</w:t>
      </w:r>
      <w:r>
        <w:rPr>
          <w:rFonts w:hint="eastAsia"/>
        </w:rPr>
        <w:t xml:space="preserve"> 4.24% </w:t>
      </w:r>
      <w:r>
        <w:rPr>
          <w:rFonts w:hint="eastAsia"/>
        </w:rPr>
        <w:t>有所改善。</w:t>
      </w:r>
    </w:p>
    <w:p w14:paraId="08A60544" w14:textId="77777777" w:rsidR="00B32597" w:rsidRDefault="00B32597" w:rsidP="00FC0322">
      <w:pPr>
        <w:pStyle w:val="NoSpacing"/>
      </w:pPr>
    </w:p>
    <w:p w14:paraId="663064E2" w14:textId="0846DC99" w:rsidR="0067478F" w:rsidRDefault="0067478F" w:rsidP="0067478F">
      <w:pPr>
        <w:pStyle w:val="NoSpacing"/>
      </w:pPr>
      <w:r>
        <w:rPr>
          <w:rFonts w:hint="eastAsia"/>
        </w:rPr>
        <w:t>由於全年現行利率上升，公司固定期限證券投資組合的賬面價值在</w:t>
      </w:r>
      <w:r>
        <w:rPr>
          <w:rFonts w:hint="eastAsia"/>
        </w:rPr>
        <w:t xml:space="preserve"> 2022 </w:t>
      </w:r>
      <w:r>
        <w:rPr>
          <w:rFonts w:hint="eastAsia"/>
        </w:rPr>
        <w:t>年</w:t>
      </w:r>
      <w:r>
        <w:rPr>
          <w:rFonts w:hint="eastAsia"/>
        </w:rPr>
        <w:t xml:space="preserve"> 12 </w:t>
      </w:r>
      <w:r>
        <w:rPr>
          <w:rFonts w:hint="eastAsia"/>
        </w:rPr>
        <w:t>月</w:t>
      </w:r>
      <w:r>
        <w:rPr>
          <w:rFonts w:hint="eastAsia"/>
        </w:rPr>
        <w:t xml:space="preserve"> 31 </w:t>
      </w:r>
      <w:r>
        <w:rPr>
          <w:rFonts w:hint="eastAsia"/>
        </w:rPr>
        <w:t>日為</w:t>
      </w:r>
      <w:r>
        <w:rPr>
          <w:rFonts w:hint="eastAsia"/>
        </w:rPr>
        <w:t xml:space="preserve"> 12 </w:t>
      </w:r>
      <w:r>
        <w:rPr>
          <w:rFonts w:hint="eastAsia"/>
        </w:rPr>
        <w:t>億美元，而</w:t>
      </w:r>
      <w:r>
        <w:rPr>
          <w:rFonts w:hint="eastAsia"/>
        </w:rPr>
        <w:t xml:space="preserve"> 2021 </w:t>
      </w:r>
      <w:r>
        <w:rPr>
          <w:rFonts w:hint="eastAsia"/>
        </w:rPr>
        <w:t>年</w:t>
      </w:r>
      <w:r>
        <w:rPr>
          <w:rFonts w:hint="eastAsia"/>
        </w:rPr>
        <w:t xml:space="preserve"> 12 </w:t>
      </w:r>
      <w:r>
        <w:rPr>
          <w:rFonts w:hint="eastAsia"/>
        </w:rPr>
        <w:t>月</w:t>
      </w:r>
      <w:r>
        <w:rPr>
          <w:rFonts w:hint="eastAsia"/>
        </w:rPr>
        <w:t xml:space="preserve"> 31 </w:t>
      </w:r>
      <w:r>
        <w:rPr>
          <w:rFonts w:hint="eastAsia"/>
        </w:rPr>
        <w:t>日為</w:t>
      </w:r>
      <w:r>
        <w:rPr>
          <w:rFonts w:hint="eastAsia"/>
        </w:rPr>
        <w:t xml:space="preserve"> 15 </w:t>
      </w:r>
      <w:r>
        <w:rPr>
          <w:rFonts w:hint="eastAsia"/>
        </w:rPr>
        <w:t>億美元。固定期限證券約占公司投資組合的</w:t>
      </w:r>
      <w:r>
        <w:rPr>
          <w:rFonts w:hint="eastAsia"/>
        </w:rPr>
        <w:t xml:space="preserve"> 87%</w:t>
      </w:r>
      <w:r>
        <w:rPr>
          <w:rFonts w:hint="eastAsia"/>
        </w:rPr>
        <w:t>。公司的固定期限投資組合中大約有</w:t>
      </w:r>
      <w:r>
        <w:rPr>
          <w:rFonts w:hint="eastAsia"/>
        </w:rPr>
        <w:t xml:space="preserve"> 99% </w:t>
      </w:r>
      <w:r>
        <w:rPr>
          <w:rFonts w:hint="eastAsia"/>
        </w:rPr>
        <w:t>被評為投資級別。公司持有債務證券直至到期的投資理念減輕了與暫時市場價值波動相關的擔憂。</w:t>
      </w:r>
    </w:p>
    <w:p w14:paraId="21F1D2D8" w14:textId="77777777" w:rsidR="0067478F" w:rsidRDefault="0067478F" w:rsidP="00FC0322">
      <w:pPr>
        <w:pStyle w:val="NoSpacing"/>
      </w:pPr>
    </w:p>
    <w:p w14:paraId="3B8E702A" w14:textId="0F184A9F" w:rsidR="00FC0322" w:rsidRPr="00FC0322" w:rsidRDefault="00FC0322" w:rsidP="00FC0322">
      <w:pPr>
        <w:pStyle w:val="NoSpacing"/>
        <w:rPr>
          <w:b/>
          <w:bCs/>
        </w:rPr>
      </w:pPr>
      <w:r>
        <w:rPr>
          <w:rFonts w:hint="eastAsia"/>
          <w:b/>
          <w:bCs/>
        </w:rPr>
        <w:t>投資相關收益（損失）淨額</w:t>
      </w:r>
    </w:p>
    <w:p w14:paraId="0C74711F" w14:textId="6A810F46" w:rsidR="004C0E9F" w:rsidRDefault="00540829" w:rsidP="00FC0322">
      <w:pPr>
        <w:pStyle w:val="NoSpacing"/>
      </w:pPr>
      <w:r>
        <w:rPr>
          <w:rFonts w:hint="eastAsia"/>
        </w:rPr>
        <w:t xml:space="preserve">2022 </w:t>
      </w:r>
      <w:r>
        <w:rPr>
          <w:rFonts w:hint="eastAsia"/>
        </w:rPr>
        <w:t>年第四季度的投資相關收益為</w:t>
      </w:r>
      <w:r>
        <w:rPr>
          <w:rFonts w:hint="eastAsia"/>
        </w:rPr>
        <w:t xml:space="preserve"> 30 </w:t>
      </w:r>
      <w:r>
        <w:rPr>
          <w:rFonts w:hint="eastAsia"/>
        </w:rPr>
        <w:t>萬美元，</w:t>
      </w:r>
      <w:r w:rsidR="00CD05E3">
        <w:rPr>
          <w:rFonts w:hint="eastAsia"/>
        </w:rPr>
        <w:t>而</w:t>
      </w:r>
      <w:r w:rsidR="00CD05E3">
        <w:rPr>
          <w:rFonts w:hint="eastAsia"/>
        </w:rPr>
        <w:t xml:space="preserve"> </w:t>
      </w:r>
      <w:r>
        <w:rPr>
          <w:rFonts w:hint="eastAsia"/>
        </w:rPr>
        <w:t xml:space="preserve">2021 </w:t>
      </w:r>
      <w:r>
        <w:rPr>
          <w:rFonts w:hint="eastAsia"/>
        </w:rPr>
        <w:t>年第四季度為</w:t>
      </w:r>
      <w:r>
        <w:rPr>
          <w:rFonts w:hint="eastAsia"/>
        </w:rPr>
        <w:t xml:space="preserve"> 370 </w:t>
      </w:r>
      <w:r>
        <w:rPr>
          <w:rFonts w:hint="eastAsia"/>
        </w:rPr>
        <w:t>萬美元。減少的主要原因是通貨膨脹環境導致公司有限合夥企業的公允價值發生變化。</w:t>
      </w:r>
    </w:p>
    <w:p w14:paraId="7620B9D9" w14:textId="6086BD1B" w:rsidR="00B32597" w:rsidRDefault="00B32597" w:rsidP="00FC0322">
      <w:pPr>
        <w:pStyle w:val="NoSpacing"/>
      </w:pPr>
    </w:p>
    <w:p w14:paraId="06C81D94" w14:textId="0781E01D" w:rsidR="0067478F" w:rsidRDefault="00396BCB" w:rsidP="00AE131F">
      <w:pPr>
        <w:pStyle w:val="NoSpacing"/>
      </w:pPr>
      <w:r>
        <w:rPr>
          <w:rFonts w:hint="eastAsia"/>
        </w:rPr>
        <w:t xml:space="preserve">2022 </w:t>
      </w:r>
      <w:r>
        <w:rPr>
          <w:rFonts w:hint="eastAsia"/>
        </w:rPr>
        <w:t>年與投資相關的損失總計為</w:t>
      </w:r>
      <w:r>
        <w:rPr>
          <w:rFonts w:hint="eastAsia"/>
        </w:rPr>
        <w:t xml:space="preserve"> 1030 </w:t>
      </w:r>
      <w:r>
        <w:rPr>
          <w:rFonts w:hint="eastAsia"/>
        </w:rPr>
        <w:t>萬美元，而</w:t>
      </w:r>
      <w:r>
        <w:rPr>
          <w:rFonts w:hint="eastAsia"/>
        </w:rPr>
        <w:t xml:space="preserve"> 2021 </w:t>
      </w:r>
      <w:r>
        <w:rPr>
          <w:rFonts w:hint="eastAsia"/>
        </w:rPr>
        <w:t>年的收益為</w:t>
      </w:r>
      <w:r>
        <w:rPr>
          <w:rFonts w:hint="eastAsia"/>
        </w:rPr>
        <w:t xml:space="preserve"> 1100 </w:t>
      </w:r>
      <w:r>
        <w:rPr>
          <w:rFonts w:hint="eastAsia"/>
        </w:rPr>
        <w:t>萬美元。虧損主要是由於通貨膨脹環境和股票市場的波動，導致公司的有限合夥和股權證券投資的公允價值發生變化。</w:t>
      </w:r>
    </w:p>
    <w:p w14:paraId="1CB33EE6" w14:textId="77777777" w:rsidR="0067478F" w:rsidRPr="00FC0322" w:rsidRDefault="0067478F" w:rsidP="00D16C3F">
      <w:pPr>
        <w:pStyle w:val="NoSpacing"/>
      </w:pPr>
    </w:p>
    <w:p w14:paraId="1486562A" w14:textId="41B67608" w:rsidR="00FC0322" w:rsidRPr="00FC0322" w:rsidRDefault="00B47C86" w:rsidP="00D16C3F">
      <w:pPr>
        <w:pStyle w:val="NoSpacing"/>
        <w:rPr>
          <w:b/>
          <w:bCs/>
        </w:rPr>
      </w:pPr>
      <w:r>
        <w:rPr>
          <w:rFonts w:hint="eastAsia"/>
          <w:b/>
          <w:bCs/>
        </w:rPr>
        <w:t>賬</w:t>
      </w:r>
      <w:r w:rsidR="00FC0322">
        <w:rPr>
          <w:rFonts w:hint="eastAsia"/>
          <w:b/>
          <w:bCs/>
        </w:rPr>
        <w:t>面價值</w:t>
      </w:r>
    </w:p>
    <w:p w14:paraId="4D63FE22" w14:textId="4CFE62B3" w:rsidR="00FC0322" w:rsidRPr="00FC0322" w:rsidRDefault="00FC0322" w:rsidP="00FC0322">
      <w:pPr>
        <w:pStyle w:val="NoSpacing"/>
      </w:pPr>
      <w:r>
        <w:rPr>
          <w:rFonts w:hint="eastAsia"/>
        </w:rPr>
        <w:t>截至</w:t>
      </w:r>
      <w:r>
        <w:rPr>
          <w:rFonts w:hint="eastAsia"/>
        </w:rPr>
        <w:t xml:space="preserve"> 2022 </w:t>
      </w:r>
      <w:r>
        <w:rPr>
          <w:rFonts w:hint="eastAsia"/>
        </w:rPr>
        <w:t>年</w:t>
      </w:r>
      <w:r>
        <w:rPr>
          <w:rFonts w:hint="eastAsia"/>
        </w:rPr>
        <w:t xml:space="preserve"> 12 </w:t>
      </w:r>
      <w:r>
        <w:rPr>
          <w:rFonts w:hint="eastAsia"/>
        </w:rPr>
        <w:t>月</w:t>
      </w:r>
      <w:r>
        <w:rPr>
          <w:rFonts w:hint="eastAsia"/>
        </w:rPr>
        <w:t xml:space="preserve"> 31 </w:t>
      </w:r>
      <w:r>
        <w:rPr>
          <w:rFonts w:hint="eastAsia"/>
        </w:rPr>
        <w:t>日，</w:t>
      </w:r>
      <w:r>
        <w:rPr>
          <w:rFonts w:hint="eastAsia"/>
        </w:rPr>
        <w:t xml:space="preserve">A </w:t>
      </w:r>
      <w:r>
        <w:rPr>
          <w:rFonts w:hint="eastAsia"/>
        </w:rPr>
        <w:t>類普通股每股的賬面價值，包括累計其他綜合收益</w:t>
      </w:r>
      <w:r>
        <w:rPr>
          <w:rFonts w:hint="eastAsia"/>
        </w:rPr>
        <w:t xml:space="preserve"> (AOCI) </w:t>
      </w:r>
      <w:r>
        <w:rPr>
          <w:rFonts w:hint="eastAsia"/>
        </w:rPr>
        <w:t>為</w:t>
      </w:r>
      <w:r>
        <w:rPr>
          <w:rFonts w:hint="eastAsia"/>
        </w:rPr>
        <w:t xml:space="preserve"> 0.02 </w:t>
      </w:r>
      <w:r>
        <w:rPr>
          <w:rFonts w:hint="eastAsia"/>
        </w:rPr>
        <w:t>美元，上年同期為</w:t>
      </w:r>
      <w:r>
        <w:rPr>
          <w:rFonts w:hint="eastAsia"/>
        </w:rPr>
        <w:t xml:space="preserve"> 6.41 </w:t>
      </w:r>
      <w:r>
        <w:rPr>
          <w:rFonts w:hint="eastAsia"/>
        </w:rPr>
        <w:t>美元。同比下降主要是由於利率上升對公司投資組合的影響。</w:t>
      </w:r>
    </w:p>
    <w:p w14:paraId="4C25AFEA" w14:textId="77777777" w:rsidR="00FC0322" w:rsidRPr="00FC0322" w:rsidRDefault="00FC0322" w:rsidP="00FC0322">
      <w:pPr>
        <w:pStyle w:val="NoSpacing"/>
      </w:pPr>
    </w:p>
    <w:p w14:paraId="37EBA7C5" w14:textId="13A12644" w:rsidR="00FC0322" w:rsidRPr="00FC0322" w:rsidRDefault="00FC0322" w:rsidP="00FC0322">
      <w:pPr>
        <w:pStyle w:val="NoSpacing"/>
      </w:pPr>
      <w:r>
        <w:rPr>
          <w:rFonts w:hint="eastAsia"/>
        </w:rPr>
        <w:t xml:space="preserve">2022 </w:t>
      </w:r>
      <w:r>
        <w:rPr>
          <w:rFonts w:hint="eastAsia"/>
        </w:rPr>
        <w:t>年調整後的</w:t>
      </w:r>
      <w:r>
        <w:rPr>
          <w:rFonts w:hint="eastAsia"/>
        </w:rPr>
        <w:t xml:space="preserve"> A </w:t>
      </w:r>
      <w:r>
        <w:rPr>
          <w:rFonts w:hint="eastAsia"/>
        </w:rPr>
        <w:t>類普通股每股（不包括</w:t>
      </w:r>
      <w:r>
        <w:rPr>
          <w:rFonts w:hint="eastAsia"/>
        </w:rPr>
        <w:t xml:space="preserve"> AOCI</w:t>
      </w:r>
      <w:r>
        <w:rPr>
          <w:rFonts w:hint="eastAsia"/>
        </w:rPr>
        <w:t>）賬面價值為</w:t>
      </w:r>
      <w:r>
        <w:rPr>
          <w:rFonts w:hint="eastAsia"/>
        </w:rPr>
        <w:t xml:space="preserve"> 3.94 </w:t>
      </w:r>
      <w:r>
        <w:rPr>
          <w:rFonts w:hint="eastAsia"/>
        </w:rPr>
        <w:t>美元，上年同期為</w:t>
      </w:r>
      <w:r>
        <w:rPr>
          <w:rFonts w:hint="eastAsia"/>
        </w:rPr>
        <w:t xml:space="preserve"> 4.06 </w:t>
      </w:r>
      <w:r>
        <w:rPr>
          <w:rFonts w:hint="eastAsia"/>
        </w:rPr>
        <w:t>美元。</w:t>
      </w:r>
    </w:p>
    <w:p w14:paraId="3FDAAA2F" w14:textId="77777777" w:rsidR="00FC0322" w:rsidRDefault="00FC0322" w:rsidP="00D16C3F">
      <w:pPr>
        <w:pStyle w:val="NoSpacing"/>
        <w:rPr>
          <w:b/>
          <w:bCs/>
        </w:rPr>
      </w:pPr>
    </w:p>
    <w:p w14:paraId="2BA5A1B0" w14:textId="73C742D5" w:rsidR="00C02935" w:rsidRPr="00C02935" w:rsidRDefault="00C02935" w:rsidP="00886F31">
      <w:pPr>
        <w:pStyle w:val="NoSpacing"/>
        <w:keepNext/>
        <w:rPr>
          <w:b/>
          <w:bCs/>
        </w:rPr>
      </w:pPr>
      <w:r>
        <w:rPr>
          <w:rFonts w:hint="eastAsia"/>
          <w:b/>
          <w:bCs/>
        </w:rPr>
        <w:t>關於</w:t>
      </w:r>
      <w:r>
        <w:rPr>
          <w:rFonts w:hint="eastAsia"/>
          <w:b/>
          <w:bCs/>
        </w:rPr>
        <w:t>Citizens</w:t>
      </w:r>
    </w:p>
    <w:p w14:paraId="38A43DF4" w14:textId="70ECBB5E" w:rsidR="00BD71E0" w:rsidRDefault="0076319C" w:rsidP="00C02935">
      <w:pPr>
        <w:pStyle w:val="NoSpacing"/>
      </w:pPr>
      <w:r>
        <w:rPr>
          <w:rFonts w:hint="eastAsia"/>
        </w:rPr>
        <w:t>Citizens</w:t>
      </w:r>
      <w:r>
        <w:rPr>
          <w:rFonts w:hint="eastAsia"/>
        </w:rPr>
        <w:t>（紐約證券交易所代碼：</w:t>
      </w:r>
      <w:r>
        <w:rPr>
          <w:rFonts w:hint="eastAsia"/>
        </w:rPr>
        <w:t>CIA</w:t>
      </w:r>
      <w:r w:rsidR="00B01447">
        <w:rPr>
          <w:rFonts w:hint="eastAsia"/>
        </w:rPr>
        <w:t>）</w:t>
      </w:r>
      <w:r>
        <w:rPr>
          <w:rFonts w:hint="eastAsia"/>
        </w:rPr>
        <w:t>是一家多元化的金融服務公司，向美國、拉丁美洲和亞洲的個人和小型企業提供人壽保險、最終費用保險和有限責任財產保險及其他金融產品。通過其以客戶為中心的增長戰略，</w:t>
      </w:r>
      <w:r>
        <w:rPr>
          <w:rFonts w:hint="eastAsia"/>
        </w:rPr>
        <w:t>Citizens</w:t>
      </w:r>
      <w:r>
        <w:rPr>
          <w:rFonts w:hint="eastAsia"/>
        </w:rPr>
        <w:t>提供創新產品，以滿足客戶不斷變化的需求。公司經營的兩個主要部</w:t>
      </w:r>
      <w:r w:rsidR="00F003CA">
        <w:rPr>
          <w:rFonts w:hint="eastAsia"/>
        </w:rPr>
        <w:t>門</w:t>
      </w:r>
      <w:r>
        <w:rPr>
          <w:rFonts w:hint="eastAsia"/>
        </w:rPr>
        <w:t>：人壽保險業務是拉丁美洲以美元計價的終身現金價值保險保單的市場領導者；家庭服務業務則主要是在美國墨西哥灣沿岸地區運營。有關</w:t>
      </w:r>
      <w:r>
        <w:rPr>
          <w:rFonts w:hint="eastAsia"/>
        </w:rPr>
        <w:t xml:space="preserve"> Citizens </w:t>
      </w:r>
      <w:r>
        <w:rPr>
          <w:rFonts w:hint="eastAsia"/>
        </w:rPr>
        <w:t>和</w:t>
      </w:r>
      <w:r>
        <w:rPr>
          <w:rFonts w:hint="eastAsia"/>
        </w:rPr>
        <w:t xml:space="preserve"> CICA Life Insurance Company of America </w:t>
      </w:r>
      <w:r>
        <w:rPr>
          <w:rFonts w:hint="eastAsia"/>
        </w:rPr>
        <w:t>的更多資訊，請訪問</w:t>
      </w:r>
      <w:r w:rsidR="00890AE5">
        <w:fldChar w:fldCharType="begin"/>
      </w:r>
      <w:r w:rsidR="00890AE5">
        <w:instrText>HYPERLINK "https://www.citizensinc.com/"</w:instrText>
      </w:r>
      <w:r w:rsidR="00890AE5">
        <w:fldChar w:fldCharType="separate"/>
      </w:r>
      <w:r>
        <w:rPr>
          <w:rStyle w:val="Hyperlink"/>
          <w:rFonts w:hint="eastAsia"/>
        </w:rPr>
        <w:t>www.citizensinc.com</w:t>
      </w:r>
      <w:r w:rsidR="00890AE5">
        <w:rPr>
          <w:rStyle w:val="Hyperlink"/>
        </w:rPr>
        <w:fldChar w:fldCharType="end"/>
      </w:r>
      <w:r>
        <w:rPr>
          <w:rFonts w:hint="eastAsia"/>
        </w:rPr>
        <w:t>。</w:t>
      </w:r>
    </w:p>
    <w:p w14:paraId="54880C7B" w14:textId="3F0366C0" w:rsidR="002E27C5" w:rsidRDefault="002E27C5" w:rsidP="00C02935">
      <w:pPr>
        <w:pStyle w:val="NoSpacing"/>
      </w:pPr>
    </w:p>
    <w:p w14:paraId="2D708035" w14:textId="1CE9A2C6" w:rsidR="00FB6490" w:rsidRDefault="00FB6490" w:rsidP="00C02935">
      <w:pPr>
        <w:pStyle w:val="NoSpacing"/>
        <w:rPr>
          <w:b/>
          <w:bCs/>
        </w:rPr>
      </w:pPr>
    </w:p>
    <w:p w14:paraId="4C24DA6E" w14:textId="765405CF" w:rsidR="007F5D4D" w:rsidRPr="007F5D4D" w:rsidRDefault="007F5D4D" w:rsidP="00C02935">
      <w:pPr>
        <w:pStyle w:val="NoSpacing"/>
        <w:rPr>
          <w:b/>
          <w:bCs/>
        </w:rPr>
      </w:pPr>
      <w:r>
        <w:rPr>
          <w:rFonts w:hint="eastAsia"/>
          <w:b/>
          <w:bCs/>
        </w:rPr>
        <w:lastRenderedPageBreak/>
        <w:t>使用非公認會計原則</w:t>
      </w:r>
      <w:r>
        <w:rPr>
          <w:rFonts w:hint="eastAsia"/>
          <w:b/>
          <w:bCs/>
        </w:rPr>
        <w:t xml:space="preserve"> (Non-GAAP) </w:t>
      </w:r>
      <w:r>
        <w:rPr>
          <w:rFonts w:hint="eastAsia"/>
          <w:b/>
          <w:bCs/>
        </w:rPr>
        <w:t>衡量指標的解釋性說明</w:t>
      </w:r>
    </w:p>
    <w:p w14:paraId="7574BC92" w14:textId="29A2F991" w:rsidR="007F5D4D" w:rsidRDefault="007F5D4D" w:rsidP="00C02935">
      <w:pPr>
        <w:pStyle w:val="NoSpacing"/>
      </w:pPr>
    </w:p>
    <w:p w14:paraId="61689CD3" w14:textId="67370955" w:rsidR="007F5D4D" w:rsidRPr="007F5D4D" w:rsidRDefault="007F5D4D" w:rsidP="00C02935">
      <w:pPr>
        <w:pStyle w:val="NoSpacing"/>
        <w:rPr>
          <w:b/>
          <w:bCs/>
        </w:rPr>
      </w:pPr>
      <w:r>
        <w:rPr>
          <w:rFonts w:hint="eastAsia"/>
          <w:b/>
          <w:bCs/>
        </w:rPr>
        <w:t>調整後營業收入</w:t>
      </w:r>
    </w:p>
    <w:p w14:paraId="322B9BFE" w14:textId="1AC51AC3" w:rsidR="007F5D4D" w:rsidRDefault="007F5D4D" w:rsidP="00C02935">
      <w:pPr>
        <w:pStyle w:val="NoSpacing"/>
      </w:pPr>
      <w:r>
        <w:rPr>
          <w:rFonts w:hint="eastAsia"/>
        </w:rPr>
        <w:t>調整後營業收入是一個非公認會計原則的衡量指標，計算作為稅前公認會計原則</w:t>
      </w:r>
      <w:r w:rsidR="00563B9A">
        <w:rPr>
          <w:rFonts w:hint="eastAsia"/>
        </w:rPr>
        <w:t xml:space="preserve"> (</w:t>
      </w:r>
      <w:r>
        <w:rPr>
          <w:rFonts w:hint="eastAsia"/>
        </w:rPr>
        <w:t>GAAP</w:t>
      </w:r>
      <w:r w:rsidR="00563B9A">
        <w:rPr>
          <w:rFonts w:hint="eastAsia"/>
        </w:rPr>
        <w:t>)</w:t>
      </w:r>
      <w:r w:rsidR="00563B9A">
        <w:t xml:space="preserve"> </w:t>
      </w:r>
      <w:r>
        <w:rPr>
          <w:rFonts w:hint="eastAsia"/>
        </w:rPr>
        <w:t>營業收入，不包括淨投資相關收益（損失）和不尋常的一次性項目。管理層認為該指標很有意義，因為它允許投資者評估潛在盈利能力，並通過排除受投資市場波動和其他經濟因素嚴重影響且不代表經營趨勢的項目，增強不同時期的可比性。管理層認為，稅前指標比稅後指標更有用，因為公司的有效稅率每個季度都可能大幅波動。</w:t>
      </w:r>
    </w:p>
    <w:p w14:paraId="455CA631" w14:textId="77777777" w:rsidR="007F5D4D" w:rsidRDefault="007F5D4D" w:rsidP="00C02935">
      <w:pPr>
        <w:pStyle w:val="NoSpacing"/>
      </w:pPr>
    </w:p>
    <w:p w14:paraId="0B1CA3BE" w14:textId="2B9D9702" w:rsidR="007F5D4D" w:rsidRDefault="007F5D4D" w:rsidP="00C02935">
      <w:pPr>
        <w:pStyle w:val="NoSpacing"/>
        <w:rPr>
          <w:b/>
          <w:bCs/>
        </w:rPr>
      </w:pPr>
      <w:r>
        <w:rPr>
          <w:rFonts w:hint="eastAsia"/>
          <w:b/>
          <w:bCs/>
        </w:rPr>
        <w:t>調整後的</w:t>
      </w:r>
      <w:r>
        <w:rPr>
          <w:rFonts w:hint="eastAsia"/>
          <w:b/>
          <w:bCs/>
        </w:rPr>
        <w:t xml:space="preserve"> A </w:t>
      </w:r>
      <w:r>
        <w:rPr>
          <w:rFonts w:hint="eastAsia"/>
          <w:b/>
          <w:bCs/>
        </w:rPr>
        <w:t>類普通股每股賬面價值</w:t>
      </w:r>
    </w:p>
    <w:p w14:paraId="6C4D0A56" w14:textId="01C203E9" w:rsidR="007F5D4D" w:rsidRDefault="007F5D4D" w:rsidP="00C02935">
      <w:pPr>
        <w:pStyle w:val="NoSpacing"/>
      </w:pPr>
      <w:r>
        <w:rPr>
          <w:rFonts w:hint="eastAsia"/>
        </w:rPr>
        <w:t>調整後的</w:t>
      </w:r>
      <w:r>
        <w:rPr>
          <w:rFonts w:hint="eastAsia"/>
        </w:rPr>
        <w:t xml:space="preserve"> A </w:t>
      </w:r>
      <w:r>
        <w:rPr>
          <w:rFonts w:hint="eastAsia"/>
        </w:rPr>
        <w:t>類普通股每股賬面價值是一個非公認會計原則的衡量指標，計算方法是將實際</w:t>
      </w:r>
      <w:r>
        <w:rPr>
          <w:rFonts w:hint="eastAsia"/>
        </w:rPr>
        <w:t xml:space="preserve"> A </w:t>
      </w:r>
      <w:r>
        <w:rPr>
          <w:rFonts w:hint="eastAsia"/>
        </w:rPr>
        <w:t>類普通股股東權益（不包括</w:t>
      </w:r>
      <w:r>
        <w:rPr>
          <w:rFonts w:hint="eastAsia"/>
        </w:rPr>
        <w:t xml:space="preserve"> AOCI</w:t>
      </w:r>
      <w:r>
        <w:rPr>
          <w:rFonts w:hint="eastAsia"/>
        </w:rPr>
        <w:t>）除以期末流通的</w:t>
      </w:r>
      <w:r>
        <w:rPr>
          <w:rFonts w:hint="eastAsia"/>
        </w:rPr>
        <w:t xml:space="preserve"> A </w:t>
      </w:r>
      <w:r>
        <w:rPr>
          <w:rFonts w:hint="eastAsia"/>
        </w:rPr>
        <w:t>類普通股數量。管理層認為該指標很有意義，因為它允許投資者通過排除利率波動的影響來評估潛在的賬面價值增長。</w:t>
      </w:r>
    </w:p>
    <w:p w14:paraId="453B0EDA" w14:textId="77777777" w:rsidR="00304AE7" w:rsidRDefault="00304AE7" w:rsidP="00051430">
      <w:pPr>
        <w:pStyle w:val="NoSpacing"/>
        <w:keepNext/>
        <w:jc w:val="center"/>
        <w:rPr>
          <w:b/>
          <w:bCs/>
        </w:rPr>
      </w:pPr>
      <w:bookmarkStart w:id="0" w:name="_Hlk97826199"/>
    </w:p>
    <w:bookmarkEnd w:id="0"/>
    <w:bookmarkStart w:id="1" w:name="_MON_1740384561"/>
    <w:bookmarkEnd w:id="1"/>
    <w:p w14:paraId="2813D957" w14:textId="32FF15A6" w:rsidR="00D373AF" w:rsidRDefault="00FB0300" w:rsidP="00C02935">
      <w:pPr>
        <w:pStyle w:val="NoSpacing"/>
        <w:rPr>
          <w:b/>
          <w:bCs/>
        </w:rPr>
      </w:pPr>
      <w:r>
        <w:rPr>
          <w:rFonts w:hint="eastAsia"/>
          <w:b/>
          <w:bCs/>
        </w:rPr>
        <w:object w:dxaOrig="9977" w:dyaOrig="7885" w14:anchorId="7593A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398pt" o:ole="">
            <v:imagedata r:id="rId12" o:title=""/>
          </v:shape>
          <o:OLEObject Type="Embed" ProgID="Excel.Sheet.12" ShapeID="_x0000_i1025" DrawAspect="Content" ObjectID="_1740986386" r:id="rId13"/>
        </w:object>
      </w:r>
    </w:p>
    <w:p w14:paraId="50DF40A3" w14:textId="77777777" w:rsidR="00D373AF" w:rsidRDefault="00D373AF" w:rsidP="00C02935">
      <w:pPr>
        <w:pStyle w:val="NoSpacing"/>
        <w:rPr>
          <w:b/>
          <w:bCs/>
        </w:rPr>
      </w:pPr>
    </w:p>
    <w:p w14:paraId="41E85BA7" w14:textId="77777777" w:rsidR="0004028D" w:rsidRDefault="0004028D" w:rsidP="00C02935">
      <w:pPr>
        <w:pStyle w:val="NoSpacing"/>
        <w:rPr>
          <w:b/>
          <w:bCs/>
        </w:rPr>
      </w:pPr>
    </w:p>
    <w:p w14:paraId="4681E2BE" w14:textId="57B6DF52" w:rsidR="0004028D" w:rsidRDefault="0004028D" w:rsidP="00C02935">
      <w:pPr>
        <w:pStyle w:val="NoSpacing"/>
        <w:rPr>
          <w:b/>
          <w:bCs/>
        </w:rPr>
      </w:pPr>
    </w:p>
    <w:p w14:paraId="1DA24474" w14:textId="7528CCAF" w:rsidR="00C06E35" w:rsidRDefault="00C06E35" w:rsidP="00C02935">
      <w:pPr>
        <w:pStyle w:val="NoSpacing"/>
        <w:rPr>
          <w:b/>
          <w:bCs/>
        </w:rPr>
      </w:pPr>
    </w:p>
    <w:p w14:paraId="39415EC5" w14:textId="77777777" w:rsidR="00C06E35" w:rsidRDefault="00C06E35" w:rsidP="00C02935">
      <w:pPr>
        <w:pStyle w:val="NoSpacing"/>
        <w:rPr>
          <w:b/>
          <w:bCs/>
        </w:rPr>
      </w:pPr>
    </w:p>
    <w:p w14:paraId="1B99272A" w14:textId="41F79A36" w:rsidR="00C82647" w:rsidRPr="00C82647" w:rsidRDefault="00C82647" w:rsidP="00C02935">
      <w:pPr>
        <w:pStyle w:val="NoSpacing"/>
        <w:rPr>
          <w:b/>
          <w:bCs/>
        </w:rPr>
      </w:pPr>
      <w:r>
        <w:rPr>
          <w:rFonts w:hint="eastAsia"/>
          <w:b/>
          <w:bCs/>
        </w:rPr>
        <w:t>報告的部門定義</w:t>
      </w:r>
    </w:p>
    <w:p w14:paraId="1A281CBE" w14:textId="4EABF8EB" w:rsidR="00C82647" w:rsidRDefault="00C82647" w:rsidP="00C82647">
      <w:pPr>
        <w:pStyle w:val="NoSpacing"/>
      </w:pPr>
      <w:r>
        <w:rPr>
          <w:rFonts w:hint="eastAsia"/>
        </w:rPr>
        <w:t>本公司由兩個經營業務部門和其他非保險業務組成，具體如下。保險業務是本公司的主要重點，也是業務收入的主要來源。</w:t>
      </w:r>
    </w:p>
    <w:p w14:paraId="3679417D" w14:textId="77777777" w:rsidR="00C82647" w:rsidRDefault="00C82647" w:rsidP="00C82647">
      <w:pPr>
        <w:pStyle w:val="NoSpacing"/>
      </w:pPr>
    </w:p>
    <w:p w14:paraId="3E7ACB62" w14:textId="0094F7B2" w:rsidR="00C82647" w:rsidRDefault="00C82647" w:rsidP="00C82647">
      <w:pPr>
        <w:pStyle w:val="NoSpacing"/>
      </w:pPr>
      <w:r w:rsidRPr="00C570CA">
        <w:rPr>
          <w:rFonts w:hint="eastAsia"/>
          <w:u w:val="single"/>
        </w:rPr>
        <w:t>人壽保險</w:t>
      </w:r>
      <w:r>
        <w:rPr>
          <w:rFonts w:hint="eastAsia"/>
        </w:rPr>
        <w:t>——人壽保險部門主要發行以美元計價的普通終身人壽保險和養老保險，主要出售給居住在拉丁美洲和環太平洋地區的非美國居民。這些產品通過獨立的營銷顧問進行銷售。</w:t>
      </w:r>
    </w:p>
    <w:p w14:paraId="6582F9D8" w14:textId="77777777" w:rsidR="00C82647" w:rsidRDefault="00C82647" w:rsidP="00C82647">
      <w:pPr>
        <w:pStyle w:val="NoSpacing"/>
      </w:pPr>
    </w:p>
    <w:p w14:paraId="587F88BB" w14:textId="32E39F29" w:rsidR="00C82647" w:rsidRDefault="00C82647" w:rsidP="00C82647">
      <w:pPr>
        <w:pStyle w:val="NoSpacing"/>
      </w:pPr>
      <w:r>
        <w:rPr>
          <w:rFonts w:hint="eastAsia"/>
          <w:u w:val="single"/>
        </w:rPr>
        <w:t>家庭服務保險</w:t>
      </w:r>
      <w:r>
        <w:rPr>
          <w:rFonts w:hint="eastAsia"/>
        </w:rPr>
        <w:t>——家庭服務保險部門在路易斯安那州、密西西比州和阿肯色州提供面向中低收入家庭的最終費用人壽保險和有限責任財產保險，以及允許面值較高的終身壽險產品。這些產品通過獨立代理商和殯儀館銷售。</w:t>
      </w:r>
    </w:p>
    <w:p w14:paraId="5051CCDB" w14:textId="77777777" w:rsidR="002B5622" w:rsidRDefault="002B5622" w:rsidP="00C82647">
      <w:pPr>
        <w:pStyle w:val="NoSpacing"/>
      </w:pPr>
    </w:p>
    <w:p w14:paraId="66FDD7CC" w14:textId="334C9243" w:rsidR="00890AE5" w:rsidRDefault="00DF710B" w:rsidP="0004028D">
      <w:pPr>
        <w:pStyle w:val="NoSpacing"/>
        <w:jc w:val="center"/>
        <w:rPr>
          <w:b/>
        </w:rPr>
      </w:pPr>
      <w:r>
        <w:rPr>
          <w:rFonts w:hint="eastAsia"/>
          <w:b/>
          <w:bCs/>
        </w:rPr>
        <w:t>選定的</w:t>
      </w:r>
      <w:r w:rsidR="002B5622" w:rsidRPr="00DF710B">
        <w:rPr>
          <w:rFonts w:hint="eastAsia"/>
          <w:b/>
        </w:rPr>
        <w:t>業務部門財務數據</w:t>
      </w:r>
    </w:p>
    <w:p w14:paraId="1B93F66C" w14:textId="0631066A" w:rsidR="00890AE5" w:rsidRDefault="00890AE5" w:rsidP="0004028D">
      <w:pPr>
        <w:pStyle w:val="NoSpacing"/>
        <w:jc w:val="center"/>
        <w:rPr>
          <w:b/>
        </w:rPr>
      </w:pPr>
      <w:r>
        <w:rPr>
          <w:noProof/>
        </w:rPr>
        <w:drawing>
          <wp:inline distT="0" distB="0" distL="0" distR="0" wp14:anchorId="21CFC1BD" wp14:editId="292A7D0D">
            <wp:extent cx="5943600" cy="5098415"/>
            <wp:effectExtent l="0" t="0" r="0" b="698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4"/>
                    <a:stretch>
                      <a:fillRect/>
                    </a:stretch>
                  </pic:blipFill>
                  <pic:spPr>
                    <a:xfrm>
                      <a:off x="0" y="0"/>
                      <a:ext cx="5943600" cy="5098415"/>
                    </a:xfrm>
                    <a:prstGeom prst="rect">
                      <a:avLst/>
                    </a:prstGeom>
                  </pic:spPr>
                </pic:pic>
              </a:graphicData>
            </a:graphic>
          </wp:inline>
        </w:drawing>
      </w:r>
    </w:p>
    <w:p w14:paraId="145DCA1E" w14:textId="5E0C121E" w:rsidR="00052AA4" w:rsidRPr="00890AE5" w:rsidRDefault="00052AA4" w:rsidP="00890AE5">
      <w:pPr>
        <w:pStyle w:val="NoSpacing"/>
        <w:jc w:val="center"/>
      </w:pPr>
    </w:p>
    <w:p w14:paraId="6E586662" w14:textId="77777777" w:rsidR="00052AA4" w:rsidRDefault="00052AA4" w:rsidP="00BE1737">
      <w:pPr>
        <w:pStyle w:val="NoSpacing"/>
        <w:jc w:val="center"/>
        <w:rPr>
          <w:b/>
          <w:bCs/>
        </w:rPr>
      </w:pPr>
    </w:p>
    <w:p w14:paraId="0DF37BBA" w14:textId="77777777" w:rsidR="00052AA4" w:rsidRDefault="00052AA4" w:rsidP="00BE1737">
      <w:pPr>
        <w:pStyle w:val="NoSpacing"/>
        <w:jc w:val="center"/>
        <w:rPr>
          <w:b/>
          <w:bCs/>
        </w:rPr>
      </w:pPr>
    </w:p>
    <w:p w14:paraId="07A394C2" w14:textId="77777777" w:rsidR="00E21ECF" w:rsidRDefault="00E21ECF" w:rsidP="00BE1737">
      <w:pPr>
        <w:pStyle w:val="NoSpacing"/>
        <w:jc w:val="center"/>
        <w:rPr>
          <w:b/>
          <w:bCs/>
        </w:rPr>
      </w:pPr>
    </w:p>
    <w:p w14:paraId="5ADF37DD" w14:textId="77777777" w:rsidR="00E21ECF" w:rsidRDefault="00E21ECF" w:rsidP="00BE1737">
      <w:pPr>
        <w:pStyle w:val="NoSpacing"/>
        <w:jc w:val="center"/>
        <w:rPr>
          <w:b/>
          <w:bCs/>
        </w:rPr>
      </w:pPr>
    </w:p>
    <w:p w14:paraId="5018C8A1" w14:textId="298E805D" w:rsidR="0004028D" w:rsidRDefault="0004028D" w:rsidP="00BE1737">
      <w:pPr>
        <w:pStyle w:val="NoSpacing"/>
        <w:jc w:val="center"/>
        <w:rPr>
          <w:b/>
          <w:bCs/>
        </w:rPr>
      </w:pPr>
      <w:r>
        <w:rPr>
          <w:rFonts w:hint="eastAsia"/>
          <w:b/>
          <w:bCs/>
        </w:rPr>
        <w:t>公認會計原則與非公認會計原則對賬</w:t>
      </w:r>
    </w:p>
    <w:p w14:paraId="4115AB6D" w14:textId="77777777" w:rsidR="00304AE7" w:rsidRDefault="00304AE7" w:rsidP="00BE1737">
      <w:pPr>
        <w:pStyle w:val="NoSpacing"/>
        <w:jc w:val="center"/>
        <w:rPr>
          <w:b/>
          <w:bCs/>
        </w:rPr>
      </w:pPr>
    </w:p>
    <w:p w14:paraId="5F280F0F" w14:textId="711142E2" w:rsidR="002A0983" w:rsidRDefault="0004028D" w:rsidP="00BE1737">
      <w:pPr>
        <w:pStyle w:val="NoSpacing"/>
        <w:jc w:val="center"/>
        <w:rPr>
          <w:b/>
          <w:bCs/>
        </w:rPr>
      </w:pPr>
      <w:r>
        <w:rPr>
          <w:rFonts w:hint="eastAsia"/>
          <w:b/>
          <w:bCs/>
        </w:rPr>
        <w:t>聯邦所得稅前的調整後收入（虧損）對賬</w:t>
      </w:r>
    </w:p>
    <w:p w14:paraId="3E3FCEA3" w14:textId="77777777" w:rsidR="00A25213" w:rsidDel="002A0983" w:rsidRDefault="00A25213" w:rsidP="00BE1737">
      <w:pPr>
        <w:pStyle w:val="NoSpacing"/>
        <w:jc w:val="center"/>
        <w:rPr>
          <w:b/>
          <w:bCs/>
        </w:rPr>
      </w:pPr>
    </w:p>
    <w:tbl>
      <w:tblPr>
        <w:tblW w:w="10323" w:type="dxa"/>
        <w:tblLayout w:type="fixed"/>
        <w:tblLook w:val="04A0" w:firstRow="1" w:lastRow="0" w:firstColumn="1" w:lastColumn="0" w:noHBand="0" w:noVBand="1"/>
      </w:tblPr>
      <w:tblGrid>
        <w:gridCol w:w="4939"/>
        <w:gridCol w:w="237"/>
        <w:gridCol w:w="942"/>
        <w:gridCol w:w="290"/>
        <w:gridCol w:w="967"/>
        <w:gridCol w:w="365"/>
        <w:gridCol w:w="281"/>
        <w:gridCol w:w="966"/>
        <w:gridCol w:w="79"/>
        <w:gridCol w:w="211"/>
        <w:gridCol w:w="79"/>
        <w:gridCol w:w="864"/>
        <w:gridCol w:w="103"/>
      </w:tblGrid>
      <w:tr w:rsidR="002A0983" w:rsidRPr="00AD05B4" w14:paraId="6FF6E6E3" w14:textId="77777777" w:rsidTr="0028523C">
        <w:trPr>
          <w:trHeight w:val="166"/>
        </w:trPr>
        <w:tc>
          <w:tcPr>
            <w:tcW w:w="4939" w:type="dxa"/>
            <w:tcBorders>
              <w:top w:val="nil"/>
              <w:left w:val="nil"/>
              <w:bottom w:val="nil"/>
              <w:right w:val="nil"/>
            </w:tcBorders>
            <w:shd w:val="clear" w:color="auto" w:fill="auto"/>
            <w:noWrap/>
            <w:vAlign w:val="bottom"/>
            <w:hideMark/>
          </w:tcPr>
          <w:p w14:paraId="1ED6986E" w14:textId="77777777" w:rsidR="002A0983" w:rsidRPr="00AD05B4" w:rsidRDefault="002A0983" w:rsidP="0058066A">
            <w:pPr>
              <w:spacing w:line="240" w:lineRule="auto"/>
              <w:contextualSpacing/>
              <w:rPr>
                <w:sz w:val="20"/>
                <w:szCs w:val="20"/>
              </w:rPr>
            </w:pPr>
          </w:p>
        </w:tc>
        <w:tc>
          <w:tcPr>
            <w:tcW w:w="2436" w:type="dxa"/>
            <w:gridSpan w:val="4"/>
            <w:vMerge w:val="restart"/>
            <w:tcBorders>
              <w:top w:val="nil"/>
              <w:left w:val="nil"/>
              <w:bottom w:val="nil"/>
              <w:right w:val="nil"/>
            </w:tcBorders>
            <w:shd w:val="clear" w:color="auto" w:fill="auto"/>
            <w:vAlign w:val="bottom"/>
            <w:hideMark/>
          </w:tcPr>
          <w:p w14:paraId="29A26F9B" w14:textId="21269502" w:rsidR="002A0983" w:rsidRPr="00AD05B4" w:rsidRDefault="002A0983" w:rsidP="0058066A">
            <w:pPr>
              <w:spacing w:line="240" w:lineRule="auto"/>
              <w:contextualSpacing/>
              <w:jc w:val="center"/>
              <w:rPr>
                <w:rFonts w:ascii="Arial" w:eastAsia="PMingLiU" w:hAnsi="Arial" w:cs="Arial"/>
                <w:b/>
                <w:bCs/>
                <w:color w:val="000000"/>
                <w:sz w:val="18"/>
                <w:szCs w:val="18"/>
              </w:rPr>
            </w:pPr>
            <w:r>
              <w:rPr>
                <w:rFonts w:ascii="Arial" w:eastAsia="PMingLiU" w:hAnsi="Arial" w:hint="eastAsia"/>
                <w:b/>
                <w:bCs/>
                <w:color w:val="000000"/>
                <w:sz w:val="18"/>
                <w:szCs w:val="18"/>
              </w:rPr>
              <w:t>截至</w:t>
            </w:r>
            <w:r>
              <w:rPr>
                <w:rFonts w:ascii="Arial" w:eastAsia="PMingLiU" w:hAnsi="Arial" w:hint="eastAsia"/>
                <w:b/>
                <w:bCs/>
                <w:color w:val="000000"/>
                <w:sz w:val="18"/>
                <w:szCs w:val="18"/>
              </w:rPr>
              <w:t xml:space="preserve"> 12 </w:t>
            </w:r>
            <w:r>
              <w:rPr>
                <w:rFonts w:ascii="Arial" w:eastAsia="PMingLiU" w:hAnsi="Arial" w:hint="eastAsia"/>
                <w:b/>
                <w:bCs/>
                <w:color w:val="000000"/>
                <w:sz w:val="18"/>
                <w:szCs w:val="18"/>
              </w:rPr>
              <w:t>月</w:t>
            </w:r>
            <w:r>
              <w:rPr>
                <w:rFonts w:ascii="Arial" w:eastAsia="PMingLiU" w:hAnsi="Arial" w:hint="eastAsia"/>
                <w:b/>
                <w:bCs/>
                <w:color w:val="000000"/>
                <w:sz w:val="18"/>
                <w:szCs w:val="18"/>
              </w:rPr>
              <w:t xml:space="preserve"> 31 </w:t>
            </w:r>
            <w:r>
              <w:rPr>
                <w:rFonts w:ascii="Arial" w:eastAsia="PMingLiU" w:hAnsi="Arial" w:hint="eastAsia"/>
                <w:b/>
                <w:bCs/>
                <w:color w:val="000000"/>
                <w:sz w:val="18"/>
                <w:szCs w:val="18"/>
              </w:rPr>
              <w:t>日的</w:t>
            </w:r>
            <w:r w:rsidR="00E21ECF">
              <w:rPr>
                <w:rFonts w:ascii="Arial" w:eastAsia="PMingLiU" w:hAnsi="Arial"/>
                <w:b/>
                <w:bCs/>
                <w:color w:val="000000"/>
                <w:sz w:val="18"/>
                <w:szCs w:val="18"/>
              </w:rPr>
              <w:br/>
            </w:r>
            <w:r w:rsidR="001A3536">
              <w:rPr>
                <w:rFonts w:ascii="Arial" w:eastAsia="PMingLiU" w:hAnsi="Arial" w:hint="eastAsia"/>
                <w:b/>
                <w:bCs/>
                <w:color w:val="000000"/>
                <w:sz w:val="18"/>
                <w:szCs w:val="18"/>
              </w:rPr>
              <w:t>三個月</w:t>
            </w:r>
          </w:p>
        </w:tc>
        <w:tc>
          <w:tcPr>
            <w:tcW w:w="365" w:type="dxa"/>
            <w:tcBorders>
              <w:top w:val="nil"/>
              <w:left w:val="nil"/>
              <w:bottom w:val="nil"/>
              <w:right w:val="nil"/>
            </w:tcBorders>
            <w:shd w:val="clear" w:color="auto" w:fill="auto"/>
            <w:noWrap/>
            <w:vAlign w:val="bottom"/>
            <w:hideMark/>
          </w:tcPr>
          <w:p w14:paraId="57A05743" w14:textId="77777777" w:rsidR="002A0983" w:rsidRPr="00AD05B4" w:rsidRDefault="002A0983" w:rsidP="0058066A">
            <w:pPr>
              <w:spacing w:line="240" w:lineRule="auto"/>
              <w:contextualSpacing/>
              <w:jc w:val="center"/>
              <w:rPr>
                <w:rFonts w:ascii="Arial" w:hAnsi="Arial" w:cs="Arial"/>
                <w:b/>
                <w:bCs/>
                <w:color w:val="000000"/>
                <w:sz w:val="18"/>
                <w:szCs w:val="18"/>
              </w:rPr>
            </w:pPr>
          </w:p>
        </w:tc>
        <w:tc>
          <w:tcPr>
            <w:tcW w:w="2583" w:type="dxa"/>
            <w:gridSpan w:val="7"/>
            <w:vMerge w:val="restart"/>
            <w:tcBorders>
              <w:top w:val="nil"/>
              <w:left w:val="nil"/>
              <w:bottom w:val="nil"/>
              <w:right w:val="nil"/>
            </w:tcBorders>
            <w:shd w:val="clear" w:color="auto" w:fill="auto"/>
            <w:vAlign w:val="bottom"/>
            <w:hideMark/>
          </w:tcPr>
          <w:p w14:paraId="3D4089E5" w14:textId="0ADD3C48" w:rsidR="002A0983" w:rsidRPr="00AD05B4" w:rsidRDefault="007D14CF" w:rsidP="0058066A">
            <w:pPr>
              <w:spacing w:line="240" w:lineRule="auto"/>
              <w:contextualSpacing/>
              <w:jc w:val="center"/>
              <w:rPr>
                <w:rFonts w:ascii="Arial" w:eastAsia="PMingLiU" w:hAnsi="Arial" w:cs="Arial"/>
                <w:b/>
                <w:bCs/>
                <w:color w:val="000000"/>
                <w:sz w:val="18"/>
                <w:szCs w:val="18"/>
              </w:rPr>
            </w:pPr>
            <w:r>
              <w:rPr>
                <w:rFonts w:ascii="Arial" w:eastAsia="PMingLiU" w:hAnsi="Arial" w:hint="eastAsia"/>
                <w:b/>
                <w:bCs/>
                <w:color w:val="000000"/>
                <w:sz w:val="18"/>
                <w:szCs w:val="18"/>
              </w:rPr>
              <w:t>截至</w:t>
            </w:r>
            <w:r>
              <w:rPr>
                <w:rFonts w:ascii="Arial" w:eastAsia="PMingLiU" w:hAnsi="Arial" w:hint="eastAsia"/>
                <w:b/>
                <w:bCs/>
                <w:color w:val="000000"/>
                <w:sz w:val="18"/>
                <w:szCs w:val="18"/>
              </w:rPr>
              <w:t xml:space="preserve"> 12 </w:t>
            </w:r>
            <w:r>
              <w:rPr>
                <w:rFonts w:ascii="Arial" w:eastAsia="PMingLiU" w:hAnsi="Arial" w:hint="eastAsia"/>
                <w:b/>
                <w:bCs/>
                <w:color w:val="000000"/>
                <w:sz w:val="18"/>
                <w:szCs w:val="18"/>
              </w:rPr>
              <w:t>月</w:t>
            </w:r>
            <w:r>
              <w:rPr>
                <w:rFonts w:ascii="Arial" w:eastAsia="PMingLiU" w:hAnsi="Arial" w:hint="eastAsia"/>
                <w:b/>
                <w:bCs/>
                <w:color w:val="000000"/>
                <w:sz w:val="18"/>
                <w:szCs w:val="18"/>
              </w:rPr>
              <w:t xml:space="preserve"> 31 </w:t>
            </w:r>
            <w:r>
              <w:rPr>
                <w:rFonts w:ascii="Arial" w:eastAsia="PMingLiU" w:hAnsi="Arial" w:hint="eastAsia"/>
                <w:b/>
                <w:bCs/>
                <w:color w:val="000000"/>
                <w:sz w:val="18"/>
                <w:szCs w:val="18"/>
              </w:rPr>
              <w:t>日的</w:t>
            </w:r>
            <w:r w:rsidR="00E21ECF">
              <w:rPr>
                <w:rFonts w:ascii="Arial" w:eastAsia="PMingLiU" w:hAnsi="Arial"/>
                <w:b/>
                <w:bCs/>
                <w:color w:val="000000"/>
                <w:sz w:val="18"/>
                <w:szCs w:val="18"/>
              </w:rPr>
              <w:br/>
            </w:r>
            <w:r w:rsidR="001A3536">
              <w:rPr>
                <w:rFonts w:ascii="Arial" w:eastAsia="PMingLiU" w:hAnsi="Arial" w:hint="eastAsia"/>
                <w:b/>
                <w:bCs/>
                <w:color w:val="000000"/>
                <w:sz w:val="18"/>
                <w:szCs w:val="18"/>
              </w:rPr>
              <w:t>十二個月</w:t>
            </w:r>
          </w:p>
        </w:tc>
      </w:tr>
      <w:tr w:rsidR="002A0983" w:rsidRPr="00AD05B4" w14:paraId="783893B6" w14:textId="77777777" w:rsidTr="0028523C">
        <w:trPr>
          <w:trHeight w:val="196"/>
        </w:trPr>
        <w:tc>
          <w:tcPr>
            <w:tcW w:w="4939" w:type="dxa"/>
            <w:tcBorders>
              <w:top w:val="nil"/>
              <w:left w:val="nil"/>
              <w:bottom w:val="nil"/>
              <w:right w:val="nil"/>
            </w:tcBorders>
            <w:shd w:val="clear" w:color="auto" w:fill="auto"/>
            <w:noWrap/>
            <w:vAlign w:val="bottom"/>
            <w:hideMark/>
          </w:tcPr>
          <w:p w14:paraId="6E04845A" w14:textId="78F93448" w:rsidR="002A0983" w:rsidRPr="00AD05B4" w:rsidRDefault="002A0983" w:rsidP="0058066A">
            <w:pPr>
              <w:spacing w:line="240" w:lineRule="auto"/>
              <w:contextualSpacing/>
              <w:rPr>
                <w:rFonts w:ascii="Arial" w:eastAsia="PMingLiU" w:hAnsi="Arial" w:cs="Arial"/>
                <w:b/>
                <w:bCs/>
                <w:color w:val="000000"/>
                <w:sz w:val="18"/>
                <w:szCs w:val="18"/>
              </w:rPr>
            </w:pPr>
            <w:r>
              <w:rPr>
                <w:rFonts w:ascii="Arial" w:eastAsia="PMingLiU" w:hAnsi="Arial" w:hint="eastAsia"/>
                <w:b/>
                <w:bCs/>
                <w:color w:val="000000"/>
                <w:sz w:val="18"/>
                <w:szCs w:val="18"/>
              </w:rPr>
              <w:t>截至</w:t>
            </w:r>
            <w:r w:rsidR="00E21ECF">
              <w:rPr>
                <w:rFonts w:ascii="Arial" w:eastAsia="PMingLiU" w:hAnsi="Arial" w:hint="eastAsia"/>
                <w:b/>
                <w:bCs/>
                <w:color w:val="000000"/>
                <w:sz w:val="18"/>
                <w:szCs w:val="18"/>
              </w:rPr>
              <w:t>日期</w:t>
            </w:r>
          </w:p>
        </w:tc>
        <w:tc>
          <w:tcPr>
            <w:tcW w:w="2436" w:type="dxa"/>
            <w:gridSpan w:val="4"/>
            <w:vMerge/>
            <w:tcBorders>
              <w:top w:val="nil"/>
              <w:left w:val="nil"/>
              <w:bottom w:val="nil"/>
              <w:right w:val="nil"/>
            </w:tcBorders>
            <w:vAlign w:val="center"/>
            <w:hideMark/>
          </w:tcPr>
          <w:p w14:paraId="3E56747F" w14:textId="77777777" w:rsidR="002A0983" w:rsidRPr="00AD05B4" w:rsidRDefault="002A0983" w:rsidP="0058066A">
            <w:pPr>
              <w:spacing w:line="240" w:lineRule="auto"/>
              <w:contextualSpacing/>
              <w:rPr>
                <w:rFonts w:ascii="Arial" w:hAnsi="Arial" w:cs="Arial"/>
                <w:b/>
                <w:bCs/>
                <w:color w:val="000000"/>
                <w:sz w:val="18"/>
                <w:szCs w:val="18"/>
              </w:rPr>
            </w:pPr>
          </w:p>
        </w:tc>
        <w:tc>
          <w:tcPr>
            <w:tcW w:w="365" w:type="dxa"/>
            <w:tcBorders>
              <w:top w:val="nil"/>
              <w:left w:val="nil"/>
              <w:bottom w:val="nil"/>
              <w:right w:val="nil"/>
            </w:tcBorders>
            <w:shd w:val="clear" w:color="auto" w:fill="auto"/>
            <w:noWrap/>
            <w:vAlign w:val="bottom"/>
            <w:hideMark/>
          </w:tcPr>
          <w:p w14:paraId="15BFF319" w14:textId="77777777" w:rsidR="002A0983" w:rsidRPr="00AD05B4" w:rsidRDefault="002A0983" w:rsidP="0058066A">
            <w:pPr>
              <w:spacing w:line="240" w:lineRule="auto"/>
              <w:contextualSpacing/>
              <w:rPr>
                <w:rFonts w:ascii="Arial" w:hAnsi="Arial" w:cs="Arial"/>
                <w:b/>
                <w:bCs/>
                <w:color w:val="000000"/>
                <w:sz w:val="18"/>
                <w:szCs w:val="18"/>
              </w:rPr>
            </w:pPr>
          </w:p>
        </w:tc>
        <w:tc>
          <w:tcPr>
            <w:tcW w:w="2583" w:type="dxa"/>
            <w:gridSpan w:val="7"/>
            <w:vMerge/>
            <w:tcBorders>
              <w:top w:val="nil"/>
              <w:left w:val="nil"/>
              <w:bottom w:val="nil"/>
              <w:right w:val="nil"/>
            </w:tcBorders>
            <w:vAlign w:val="center"/>
            <w:hideMark/>
          </w:tcPr>
          <w:p w14:paraId="7FDDBA14" w14:textId="77777777" w:rsidR="002A0983" w:rsidRPr="00AD05B4" w:rsidRDefault="002A0983" w:rsidP="0058066A">
            <w:pPr>
              <w:spacing w:line="240" w:lineRule="auto"/>
              <w:contextualSpacing/>
              <w:rPr>
                <w:rFonts w:ascii="Arial" w:hAnsi="Arial" w:cs="Arial"/>
                <w:b/>
                <w:bCs/>
                <w:color w:val="000000"/>
                <w:sz w:val="18"/>
                <w:szCs w:val="18"/>
              </w:rPr>
            </w:pPr>
          </w:p>
        </w:tc>
      </w:tr>
      <w:tr w:rsidR="002A0983" w:rsidRPr="00AD05B4" w14:paraId="3C9EF482" w14:textId="77777777" w:rsidTr="0028523C">
        <w:trPr>
          <w:trHeight w:val="166"/>
        </w:trPr>
        <w:tc>
          <w:tcPr>
            <w:tcW w:w="4939" w:type="dxa"/>
            <w:tcBorders>
              <w:top w:val="nil"/>
              <w:left w:val="nil"/>
              <w:bottom w:val="single" w:sz="4" w:space="0" w:color="auto"/>
              <w:right w:val="nil"/>
            </w:tcBorders>
            <w:shd w:val="clear" w:color="auto" w:fill="auto"/>
            <w:noWrap/>
            <w:vAlign w:val="bottom"/>
            <w:hideMark/>
          </w:tcPr>
          <w:p w14:paraId="2D87B676" w14:textId="77777777" w:rsidR="002A0983" w:rsidRPr="00AD05B4" w:rsidRDefault="002A0983" w:rsidP="0058066A">
            <w:pPr>
              <w:spacing w:line="240" w:lineRule="auto"/>
              <w:contextualSpacing/>
              <w:rPr>
                <w:rFonts w:ascii="Arial" w:eastAsia="PMingLiU" w:hAnsi="Arial" w:cs="Arial"/>
                <w:i/>
                <w:iCs/>
                <w:color w:val="000000"/>
                <w:sz w:val="18"/>
                <w:szCs w:val="18"/>
              </w:rPr>
            </w:pPr>
            <w:r>
              <w:rPr>
                <w:rFonts w:ascii="Arial" w:eastAsia="PMingLiU" w:hAnsi="Arial" w:hint="eastAsia"/>
                <w:i/>
                <w:iCs/>
                <w:color w:val="000000"/>
                <w:sz w:val="18"/>
                <w:szCs w:val="18"/>
              </w:rPr>
              <w:t>未經審計（以千計）</w:t>
            </w:r>
          </w:p>
        </w:tc>
        <w:tc>
          <w:tcPr>
            <w:tcW w:w="237" w:type="dxa"/>
            <w:tcBorders>
              <w:top w:val="nil"/>
              <w:left w:val="nil"/>
              <w:bottom w:val="nil"/>
              <w:right w:val="nil"/>
            </w:tcBorders>
            <w:shd w:val="clear" w:color="auto" w:fill="auto"/>
            <w:noWrap/>
            <w:vAlign w:val="bottom"/>
            <w:hideMark/>
          </w:tcPr>
          <w:p w14:paraId="4A6FA4C2" w14:textId="77777777" w:rsidR="002A0983" w:rsidRPr="00AD05B4" w:rsidRDefault="002A0983" w:rsidP="0058066A">
            <w:pPr>
              <w:spacing w:line="240" w:lineRule="auto"/>
              <w:contextualSpacing/>
              <w:rPr>
                <w:rFonts w:ascii="Arial" w:hAnsi="Arial" w:cs="Arial"/>
                <w:i/>
                <w:iCs/>
                <w:color w:val="000000"/>
                <w:sz w:val="18"/>
                <w:szCs w:val="18"/>
              </w:rPr>
            </w:pPr>
          </w:p>
        </w:tc>
        <w:tc>
          <w:tcPr>
            <w:tcW w:w="942" w:type="dxa"/>
            <w:tcBorders>
              <w:top w:val="nil"/>
              <w:left w:val="nil"/>
              <w:bottom w:val="single" w:sz="4" w:space="0" w:color="auto"/>
              <w:right w:val="nil"/>
            </w:tcBorders>
            <w:shd w:val="clear" w:color="auto" w:fill="auto"/>
            <w:noWrap/>
            <w:vAlign w:val="bottom"/>
            <w:hideMark/>
          </w:tcPr>
          <w:p w14:paraId="381082CA" w14:textId="77777777" w:rsidR="002A0983" w:rsidRPr="00AD05B4" w:rsidRDefault="002A0983" w:rsidP="0058066A">
            <w:pPr>
              <w:spacing w:line="240" w:lineRule="auto"/>
              <w:contextualSpacing/>
              <w:jc w:val="center"/>
              <w:rPr>
                <w:rFonts w:ascii="Arial" w:eastAsia="PMingLiU" w:hAnsi="Arial" w:cs="Arial"/>
                <w:b/>
                <w:bCs/>
                <w:color w:val="000000"/>
                <w:sz w:val="18"/>
                <w:szCs w:val="18"/>
              </w:rPr>
            </w:pPr>
            <w:r>
              <w:rPr>
                <w:rFonts w:ascii="Arial" w:eastAsia="PMingLiU" w:hAnsi="Arial" w:hint="eastAsia"/>
                <w:b/>
                <w:bCs/>
                <w:color w:val="000000"/>
                <w:sz w:val="18"/>
                <w:szCs w:val="18"/>
              </w:rPr>
              <w:t>2022</w:t>
            </w:r>
          </w:p>
        </w:tc>
        <w:tc>
          <w:tcPr>
            <w:tcW w:w="290" w:type="dxa"/>
            <w:tcBorders>
              <w:top w:val="nil"/>
              <w:left w:val="nil"/>
              <w:bottom w:val="single" w:sz="4" w:space="0" w:color="auto"/>
              <w:right w:val="nil"/>
            </w:tcBorders>
            <w:shd w:val="clear" w:color="auto" w:fill="auto"/>
            <w:noWrap/>
            <w:vAlign w:val="bottom"/>
            <w:hideMark/>
          </w:tcPr>
          <w:p w14:paraId="6C7650D4" w14:textId="77777777" w:rsidR="002A0983" w:rsidRPr="00AD05B4" w:rsidRDefault="002A0983" w:rsidP="0058066A">
            <w:pPr>
              <w:spacing w:line="240" w:lineRule="auto"/>
              <w:contextualSpacing/>
              <w:jc w:val="center"/>
              <w:rPr>
                <w:rFonts w:ascii="Arial" w:eastAsia="PMingLiU" w:hAnsi="Arial" w:cs="Arial"/>
                <w:color w:val="000000"/>
                <w:sz w:val="18"/>
                <w:szCs w:val="18"/>
              </w:rPr>
            </w:pPr>
            <w:r>
              <w:rPr>
                <w:rFonts w:ascii="Arial" w:eastAsia="PMingLiU" w:hAnsi="Arial" w:hint="eastAsia"/>
                <w:color w:val="000000"/>
                <w:sz w:val="18"/>
                <w:szCs w:val="18"/>
              </w:rPr>
              <w:t> </w:t>
            </w:r>
          </w:p>
        </w:tc>
        <w:tc>
          <w:tcPr>
            <w:tcW w:w="967" w:type="dxa"/>
            <w:tcBorders>
              <w:top w:val="nil"/>
              <w:left w:val="nil"/>
              <w:bottom w:val="single" w:sz="4" w:space="0" w:color="auto"/>
              <w:right w:val="nil"/>
            </w:tcBorders>
            <w:shd w:val="clear" w:color="auto" w:fill="auto"/>
            <w:noWrap/>
            <w:vAlign w:val="bottom"/>
            <w:hideMark/>
          </w:tcPr>
          <w:p w14:paraId="1207BFDE" w14:textId="77777777" w:rsidR="002A0983" w:rsidRPr="00AD05B4" w:rsidRDefault="002A0983" w:rsidP="0058066A">
            <w:pPr>
              <w:spacing w:line="240" w:lineRule="auto"/>
              <w:contextualSpacing/>
              <w:jc w:val="center"/>
              <w:rPr>
                <w:rFonts w:ascii="Arial" w:eastAsia="PMingLiU" w:hAnsi="Arial" w:cs="Arial"/>
                <w:b/>
                <w:bCs/>
                <w:color w:val="000000"/>
                <w:sz w:val="18"/>
                <w:szCs w:val="18"/>
              </w:rPr>
            </w:pPr>
            <w:r>
              <w:rPr>
                <w:rFonts w:ascii="Arial" w:eastAsia="PMingLiU" w:hAnsi="Arial" w:hint="eastAsia"/>
                <w:b/>
                <w:bCs/>
                <w:color w:val="000000"/>
                <w:sz w:val="18"/>
                <w:szCs w:val="18"/>
              </w:rPr>
              <w:t>2021</w:t>
            </w:r>
          </w:p>
        </w:tc>
        <w:tc>
          <w:tcPr>
            <w:tcW w:w="365" w:type="dxa"/>
            <w:tcBorders>
              <w:top w:val="nil"/>
              <w:left w:val="nil"/>
              <w:bottom w:val="nil"/>
              <w:right w:val="nil"/>
            </w:tcBorders>
            <w:shd w:val="clear" w:color="auto" w:fill="auto"/>
            <w:noWrap/>
            <w:vAlign w:val="bottom"/>
            <w:hideMark/>
          </w:tcPr>
          <w:p w14:paraId="4E585C06" w14:textId="77777777" w:rsidR="002A0983" w:rsidRPr="00AD05B4" w:rsidRDefault="002A0983" w:rsidP="0058066A">
            <w:pPr>
              <w:spacing w:line="240" w:lineRule="auto"/>
              <w:contextualSpacing/>
              <w:jc w:val="center"/>
              <w:rPr>
                <w:rFonts w:ascii="Arial" w:hAnsi="Arial" w:cs="Arial"/>
                <w:b/>
                <w:bCs/>
                <w:color w:val="000000"/>
                <w:sz w:val="18"/>
                <w:szCs w:val="18"/>
              </w:rPr>
            </w:pPr>
          </w:p>
        </w:tc>
        <w:tc>
          <w:tcPr>
            <w:tcW w:w="281" w:type="dxa"/>
            <w:tcBorders>
              <w:top w:val="nil"/>
              <w:left w:val="nil"/>
              <w:bottom w:val="nil"/>
              <w:right w:val="nil"/>
            </w:tcBorders>
            <w:shd w:val="clear" w:color="auto" w:fill="auto"/>
            <w:noWrap/>
            <w:vAlign w:val="bottom"/>
            <w:hideMark/>
          </w:tcPr>
          <w:p w14:paraId="2ECF2ABF" w14:textId="77777777" w:rsidR="002A0983" w:rsidRPr="00AD05B4" w:rsidRDefault="002A0983" w:rsidP="0058066A">
            <w:pPr>
              <w:spacing w:line="240" w:lineRule="auto"/>
              <w:contextualSpacing/>
              <w:jc w:val="center"/>
              <w:rPr>
                <w:sz w:val="20"/>
                <w:szCs w:val="20"/>
              </w:rPr>
            </w:pPr>
          </w:p>
        </w:tc>
        <w:tc>
          <w:tcPr>
            <w:tcW w:w="1045" w:type="dxa"/>
            <w:gridSpan w:val="2"/>
            <w:tcBorders>
              <w:top w:val="nil"/>
              <w:left w:val="nil"/>
              <w:bottom w:val="single" w:sz="4" w:space="0" w:color="auto"/>
              <w:right w:val="nil"/>
            </w:tcBorders>
            <w:shd w:val="clear" w:color="auto" w:fill="auto"/>
            <w:noWrap/>
            <w:vAlign w:val="bottom"/>
            <w:hideMark/>
          </w:tcPr>
          <w:p w14:paraId="5CA7AFAF" w14:textId="77777777" w:rsidR="002A0983" w:rsidRPr="00AD05B4" w:rsidRDefault="002A0983" w:rsidP="0058066A">
            <w:pPr>
              <w:spacing w:line="240" w:lineRule="auto"/>
              <w:contextualSpacing/>
              <w:jc w:val="center"/>
              <w:rPr>
                <w:rFonts w:ascii="Arial" w:eastAsia="PMingLiU" w:hAnsi="Arial" w:cs="Arial"/>
                <w:b/>
                <w:bCs/>
                <w:color w:val="000000"/>
                <w:sz w:val="18"/>
                <w:szCs w:val="18"/>
              </w:rPr>
            </w:pPr>
            <w:r>
              <w:rPr>
                <w:rFonts w:ascii="Arial" w:eastAsia="PMingLiU" w:hAnsi="Arial" w:hint="eastAsia"/>
                <w:b/>
                <w:bCs/>
                <w:color w:val="000000"/>
                <w:sz w:val="18"/>
                <w:szCs w:val="18"/>
              </w:rPr>
              <w:t>2022</w:t>
            </w:r>
          </w:p>
        </w:tc>
        <w:tc>
          <w:tcPr>
            <w:tcW w:w="290" w:type="dxa"/>
            <w:gridSpan w:val="2"/>
            <w:tcBorders>
              <w:top w:val="nil"/>
              <w:left w:val="nil"/>
              <w:bottom w:val="single" w:sz="4" w:space="0" w:color="auto"/>
              <w:right w:val="nil"/>
            </w:tcBorders>
            <w:shd w:val="clear" w:color="auto" w:fill="auto"/>
            <w:noWrap/>
            <w:vAlign w:val="bottom"/>
            <w:hideMark/>
          </w:tcPr>
          <w:p w14:paraId="280BC5A9" w14:textId="77777777" w:rsidR="002A0983" w:rsidRPr="00AD05B4" w:rsidRDefault="002A0983" w:rsidP="0058066A">
            <w:pPr>
              <w:spacing w:line="240" w:lineRule="auto"/>
              <w:contextualSpacing/>
              <w:jc w:val="center"/>
              <w:rPr>
                <w:rFonts w:ascii="Arial" w:eastAsia="PMingLiU" w:hAnsi="Arial" w:cs="Arial"/>
                <w:color w:val="000000"/>
                <w:sz w:val="18"/>
                <w:szCs w:val="18"/>
              </w:rPr>
            </w:pPr>
            <w:r>
              <w:rPr>
                <w:rFonts w:ascii="Arial" w:eastAsia="PMingLiU" w:hAnsi="Arial" w:hint="eastAsia"/>
                <w:color w:val="000000"/>
                <w:sz w:val="18"/>
                <w:szCs w:val="18"/>
              </w:rPr>
              <w:t> </w:t>
            </w:r>
          </w:p>
        </w:tc>
        <w:tc>
          <w:tcPr>
            <w:tcW w:w="967" w:type="dxa"/>
            <w:gridSpan w:val="2"/>
            <w:tcBorders>
              <w:top w:val="nil"/>
              <w:left w:val="nil"/>
              <w:bottom w:val="single" w:sz="4" w:space="0" w:color="auto"/>
              <w:right w:val="nil"/>
            </w:tcBorders>
            <w:shd w:val="clear" w:color="auto" w:fill="auto"/>
            <w:noWrap/>
            <w:vAlign w:val="bottom"/>
            <w:hideMark/>
          </w:tcPr>
          <w:p w14:paraId="66AAAC40" w14:textId="77777777" w:rsidR="002A0983" w:rsidRPr="00AD05B4" w:rsidRDefault="002A0983" w:rsidP="0058066A">
            <w:pPr>
              <w:spacing w:line="240" w:lineRule="auto"/>
              <w:contextualSpacing/>
              <w:jc w:val="center"/>
              <w:rPr>
                <w:rFonts w:ascii="Arial" w:eastAsia="PMingLiU" w:hAnsi="Arial" w:cs="Arial"/>
                <w:b/>
                <w:bCs/>
                <w:color w:val="000000"/>
                <w:sz w:val="18"/>
                <w:szCs w:val="18"/>
              </w:rPr>
            </w:pPr>
            <w:r>
              <w:rPr>
                <w:rFonts w:ascii="Arial" w:eastAsia="PMingLiU" w:hAnsi="Arial" w:hint="eastAsia"/>
                <w:b/>
                <w:bCs/>
                <w:color w:val="000000"/>
                <w:sz w:val="18"/>
                <w:szCs w:val="18"/>
              </w:rPr>
              <w:t>2021</w:t>
            </w:r>
          </w:p>
        </w:tc>
      </w:tr>
      <w:tr w:rsidR="002A0983" w:rsidRPr="00AD05B4" w14:paraId="39BDBC31" w14:textId="77777777" w:rsidTr="0028523C">
        <w:trPr>
          <w:trHeight w:val="166"/>
        </w:trPr>
        <w:tc>
          <w:tcPr>
            <w:tcW w:w="4939" w:type="dxa"/>
            <w:tcBorders>
              <w:top w:val="nil"/>
              <w:left w:val="nil"/>
              <w:bottom w:val="nil"/>
              <w:right w:val="nil"/>
            </w:tcBorders>
            <w:shd w:val="clear" w:color="auto" w:fill="auto"/>
            <w:noWrap/>
            <w:vAlign w:val="bottom"/>
            <w:hideMark/>
          </w:tcPr>
          <w:p w14:paraId="3916F03A" w14:textId="77777777" w:rsidR="002A0983" w:rsidRPr="00AD05B4" w:rsidRDefault="002A0983" w:rsidP="0058066A">
            <w:pPr>
              <w:spacing w:line="240" w:lineRule="auto"/>
              <w:contextualSpacing/>
              <w:jc w:val="center"/>
              <w:rPr>
                <w:rFonts w:ascii="Arial" w:hAnsi="Arial" w:cs="Arial"/>
                <w:b/>
                <w:bCs/>
                <w:color w:val="000000"/>
                <w:sz w:val="18"/>
                <w:szCs w:val="18"/>
              </w:rPr>
            </w:pPr>
          </w:p>
        </w:tc>
        <w:tc>
          <w:tcPr>
            <w:tcW w:w="237" w:type="dxa"/>
            <w:tcBorders>
              <w:top w:val="nil"/>
              <w:left w:val="nil"/>
              <w:bottom w:val="nil"/>
              <w:right w:val="nil"/>
            </w:tcBorders>
            <w:shd w:val="clear" w:color="auto" w:fill="auto"/>
            <w:noWrap/>
            <w:vAlign w:val="bottom"/>
            <w:hideMark/>
          </w:tcPr>
          <w:p w14:paraId="400AA21C" w14:textId="77777777" w:rsidR="002A0983" w:rsidRPr="00AD05B4" w:rsidRDefault="002A0983" w:rsidP="0058066A">
            <w:pPr>
              <w:spacing w:line="240" w:lineRule="auto"/>
              <w:contextualSpacing/>
              <w:rPr>
                <w:sz w:val="20"/>
                <w:szCs w:val="20"/>
              </w:rPr>
            </w:pPr>
          </w:p>
        </w:tc>
        <w:tc>
          <w:tcPr>
            <w:tcW w:w="942" w:type="dxa"/>
            <w:tcBorders>
              <w:top w:val="nil"/>
              <w:left w:val="nil"/>
              <w:bottom w:val="nil"/>
              <w:right w:val="nil"/>
            </w:tcBorders>
            <w:shd w:val="clear" w:color="auto" w:fill="auto"/>
            <w:noWrap/>
            <w:vAlign w:val="bottom"/>
            <w:hideMark/>
          </w:tcPr>
          <w:p w14:paraId="72F9D91F" w14:textId="77777777" w:rsidR="002A0983" w:rsidRPr="00AD05B4" w:rsidRDefault="002A0983" w:rsidP="0058066A">
            <w:pPr>
              <w:spacing w:line="240" w:lineRule="auto"/>
              <w:contextualSpacing/>
              <w:jc w:val="right"/>
              <w:rPr>
                <w:sz w:val="20"/>
                <w:szCs w:val="20"/>
              </w:rPr>
            </w:pPr>
          </w:p>
        </w:tc>
        <w:tc>
          <w:tcPr>
            <w:tcW w:w="290" w:type="dxa"/>
            <w:tcBorders>
              <w:top w:val="nil"/>
              <w:left w:val="nil"/>
              <w:bottom w:val="nil"/>
              <w:right w:val="nil"/>
            </w:tcBorders>
            <w:shd w:val="clear" w:color="auto" w:fill="auto"/>
            <w:noWrap/>
            <w:vAlign w:val="bottom"/>
            <w:hideMark/>
          </w:tcPr>
          <w:p w14:paraId="760B6901" w14:textId="77777777" w:rsidR="002A0983" w:rsidRPr="00AD05B4" w:rsidRDefault="002A0983" w:rsidP="0058066A">
            <w:pPr>
              <w:spacing w:line="240" w:lineRule="auto"/>
              <w:contextualSpacing/>
              <w:jc w:val="right"/>
              <w:rPr>
                <w:sz w:val="20"/>
                <w:szCs w:val="20"/>
              </w:rPr>
            </w:pPr>
          </w:p>
        </w:tc>
        <w:tc>
          <w:tcPr>
            <w:tcW w:w="967" w:type="dxa"/>
            <w:tcBorders>
              <w:top w:val="nil"/>
              <w:left w:val="nil"/>
              <w:bottom w:val="nil"/>
              <w:right w:val="nil"/>
            </w:tcBorders>
            <w:shd w:val="clear" w:color="auto" w:fill="auto"/>
            <w:noWrap/>
            <w:vAlign w:val="bottom"/>
            <w:hideMark/>
          </w:tcPr>
          <w:p w14:paraId="2EC83730" w14:textId="77777777" w:rsidR="002A0983" w:rsidRPr="00AD05B4" w:rsidRDefault="002A0983" w:rsidP="0058066A">
            <w:pPr>
              <w:spacing w:line="240" w:lineRule="auto"/>
              <w:contextualSpacing/>
              <w:jc w:val="right"/>
              <w:rPr>
                <w:sz w:val="20"/>
                <w:szCs w:val="20"/>
              </w:rPr>
            </w:pPr>
          </w:p>
        </w:tc>
        <w:tc>
          <w:tcPr>
            <w:tcW w:w="365" w:type="dxa"/>
            <w:tcBorders>
              <w:top w:val="nil"/>
              <w:left w:val="nil"/>
              <w:bottom w:val="nil"/>
              <w:right w:val="nil"/>
            </w:tcBorders>
            <w:shd w:val="clear" w:color="auto" w:fill="auto"/>
            <w:noWrap/>
            <w:vAlign w:val="bottom"/>
            <w:hideMark/>
          </w:tcPr>
          <w:p w14:paraId="51F9EE99" w14:textId="77777777" w:rsidR="002A0983" w:rsidRPr="00AD05B4" w:rsidRDefault="002A0983" w:rsidP="0058066A">
            <w:pPr>
              <w:spacing w:line="240" w:lineRule="auto"/>
              <w:contextualSpacing/>
              <w:jc w:val="right"/>
              <w:rPr>
                <w:sz w:val="20"/>
                <w:szCs w:val="20"/>
              </w:rPr>
            </w:pPr>
          </w:p>
        </w:tc>
        <w:tc>
          <w:tcPr>
            <w:tcW w:w="281" w:type="dxa"/>
            <w:tcBorders>
              <w:top w:val="nil"/>
              <w:left w:val="nil"/>
              <w:bottom w:val="nil"/>
              <w:right w:val="nil"/>
            </w:tcBorders>
            <w:shd w:val="clear" w:color="auto" w:fill="auto"/>
            <w:noWrap/>
            <w:vAlign w:val="bottom"/>
            <w:hideMark/>
          </w:tcPr>
          <w:p w14:paraId="7C434C54" w14:textId="77777777" w:rsidR="002A0983" w:rsidRPr="00AD05B4" w:rsidRDefault="002A0983" w:rsidP="0058066A">
            <w:pPr>
              <w:spacing w:line="240" w:lineRule="auto"/>
              <w:contextualSpacing/>
              <w:jc w:val="right"/>
              <w:rPr>
                <w:sz w:val="20"/>
                <w:szCs w:val="20"/>
              </w:rPr>
            </w:pPr>
          </w:p>
        </w:tc>
        <w:tc>
          <w:tcPr>
            <w:tcW w:w="1045" w:type="dxa"/>
            <w:gridSpan w:val="2"/>
            <w:tcBorders>
              <w:top w:val="nil"/>
              <w:left w:val="nil"/>
              <w:bottom w:val="nil"/>
              <w:right w:val="nil"/>
            </w:tcBorders>
            <w:shd w:val="clear" w:color="auto" w:fill="auto"/>
            <w:noWrap/>
            <w:vAlign w:val="bottom"/>
            <w:hideMark/>
          </w:tcPr>
          <w:p w14:paraId="3CD4302C" w14:textId="77777777" w:rsidR="002A0983" w:rsidRPr="00AD05B4" w:rsidRDefault="002A0983" w:rsidP="0058066A">
            <w:pPr>
              <w:spacing w:line="240" w:lineRule="auto"/>
              <w:contextualSpacing/>
              <w:jc w:val="right"/>
              <w:rPr>
                <w:sz w:val="20"/>
                <w:szCs w:val="20"/>
              </w:rPr>
            </w:pPr>
          </w:p>
        </w:tc>
        <w:tc>
          <w:tcPr>
            <w:tcW w:w="290" w:type="dxa"/>
            <w:gridSpan w:val="2"/>
            <w:tcBorders>
              <w:top w:val="nil"/>
              <w:left w:val="nil"/>
              <w:bottom w:val="nil"/>
              <w:right w:val="nil"/>
            </w:tcBorders>
            <w:shd w:val="clear" w:color="auto" w:fill="auto"/>
            <w:noWrap/>
            <w:vAlign w:val="bottom"/>
            <w:hideMark/>
          </w:tcPr>
          <w:p w14:paraId="3348D2FD" w14:textId="77777777" w:rsidR="002A0983" w:rsidRPr="00AD05B4" w:rsidRDefault="002A0983" w:rsidP="0058066A">
            <w:pPr>
              <w:spacing w:line="240" w:lineRule="auto"/>
              <w:contextualSpacing/>
              <w:jc w:val="right"/>
              <w:rPr>
                <w:sz w:val="20"/>
                <w:szCs w:val="20"/>
              </w:rPr>
            </w:pPr>
          </w:p>
        </w:tc>
        <w:tc>
          <w:tcPr>
            <w:tcW w:w="967" w:type="dxa"/>
            <w:gridSpan w:val="2"/>
            <w:tcBorders>
              <w:top w:val="nil"/>
              <w:left w:val="nil"/>
              <w:bottom w:val="nil"/>
              <w:right w:val="nil"/>
            </w:tcBorders>
            <w:shd w:val="clear" w:color="auto" w:fill="auto"/>
            <w:noWrap/>
            <w:vAlign w:val="bottom"/>
            <w:hideMark/>
          </w:tcPr>
          <w:p w14:paraId="0BD306EF" w14:textId="77777777" w:rsidR="002A0983" w:rsidRPr="00AD05B4" w:rsidRDefault="002A0983" w:rsidP="0058066A">
            <w:pPr>
              <w:spacing w:line="240" w:lineRule="auto"/>
              <w:contextualSpacing/>
              <w:jc w:val="right"/>
              <w:rPr>
                <w:sz w:val="20"/>
                <w:szCs w:val="20"/>
              </w:rPr>
            </w:pPr>
          </w:p>
        </w:tc>
      </w:tr>
      <w:tr w:rsidR="002A0983" w:rsidRPr="00AD05B4" w14:paraId="15DA2D84" w14:textId="77777777" w:rsidTr="0028523C">
        <w:trPr>
          <w:trHeight w:val="166"/>
        </w:trPr>
        <w:tc>
          <w:tcPr>
            <w:tcW w:w="4939" w:type="dxa"/>
            <w:tcBorders>
              <w:top w:val="nil"/>
              <w:left w:val="nil"/>
              <w:bottom w:val="nil"/>
              <w:right w:val="nil"/>
            </w:tcBorders>
            <w:shd w:val="clear" w:color="auto" w:fill="auto"/>
            <w:vAlign w:val="bottom"/>
            <w:hideMark/>
          </w:tcPr>
          <w:p w14:paraId="3EE97493" w14:textId="77777777" w:rsidR="002A0983" w:rsidRPr="00AD05B4" w:rsidRDefault="002A0983" w:rsidP="0058066A">
            <w:pPr>
              <w:spacing w:line="240" w:lineRule="auto"/>
              <w:contextualSpacing/>
              <w:rPr>
                <w:rFonts w:ascii="Arial" w:eastAsia="PMingLiU" w:hAnsi="Arial" w:cs="Arial"/>
                <w:b/>
                <w:bCs/>
                <w:color w:val="2F75B5"/>
                <w:sz w:val="18"/>
                <w:szCs w:val="18"/>
              </w:rPr>
            </w:pPr>
            <w:r>
              <w:rPr>
                <w:rFonts w:ascii="Arial" w:eastAsia="PMingLiU" w:hAnsi="Arial" w:hint="eastAsia"/>
                <w:b/>
                <w:bCs/>
                <w:color w:val="2F75B5"/>
                <w:sz w:val="18"/>
                <w:szCs w:val="18"/>
              </w:rPr>
              <w:t>調整後營業收入</w:t>
            </w:r>
          </w:p>
        </w:tc>
        <w:tc>
          <w:tcPr>
            <w:tcW w:w="237" w:type="dxa"/>
            <w:tcBorders>
              <w:top w:val="nil"/>
              <w:left w:val="nil"/>
              <w:bottom w:val="nil"/>
              <w:right w:val="nil"/>
            </w:tcBorders>
            <w:shd w:val="clear" w:color="auto" w:fill="auto"/>
            <w:vAlign w:val="bottom"/>
            <w:hideMark/>
          </w:tcPr>
          <w:p w14:paraId="1D29FDE7" w14:textId="77777777" w:rsidR="002A0983" w:rsidRPr="00AD05B4" w:rsidRDefault="002A0983" w:rsidP="0058066A">
            <w:pPr>
              <w:spacing w:line="240" w:lineRule="auto"/>
              <w:contextualSpacing/>
              <w:rPr>
                <w:rFonts w:ascii="Arial" w:hAnsi="Arial" w:cs="Arial"/>
                <w:b/>
                <w:bCs/>
                <w:color w:val="2F75B5"/>
                <w:sz w:val="18"/>
                <w:szCs w:val="18"/>
              </w:rPr>
            </w:pPr>
          </w:p>
        </w:tc>
        <w:tc>
          <w:tcPr>
            <w:tcW w:w="942" w:type="dxa"/>
            <w:tcBorders>
              <w:top w:val="nil"/>
              <w:left w:val="nil"/>
              <w:bottom w:val="nil"/>
              <w:right w:val="nil"/>
            </w:tcBorders>
            <w:shd w:val="clear" w:color="auto" w:fill="auto"/>
            <w:noWrap/>
            <w:vAlign w:val="bottom"/>
            <w:hideMark/>
          </w:tcPr>
          <w:p w14:paraId="6EFE39DE" w14:textId="77777777" w:rsidR="002A0983" w:rsidRPr="00AD05B4" w:rsidRDefault="002A0983" w:rsidP="0058066A">
            <w:pPr>
              <w:spacing w:line="240" w:lineRule="auto"/>
              <w:contextualSpacing/>
              <w:jc w:val="right"/>
              <w:rPr>
                <w:sz w:val="20"/>
                <w:szCs w:val="20"/>
              </w:rPr>
            </w:pPr>
          </w:p>
        </w:tc>
        <w:tc>
          <w:tcPr>
            <w:tcW w:w="290" w:type="dxa"/>
            <w:tcBorders>
              <w:top w:val="nil"/>
              <w:left w:val="nil"/>
              <w:bottom w:val="nil"/>
              <w:right w:val="nil"/>
            </w:tcBorders>
            <w:shd w:val="clear" w:color="auto" w:fill="auto"/>
            <w:noWrap/>
            <w:vAlign w:val="bottom"/>
            <w:hideMark/>
          </w:tcPr>
          <w:p w14:paraId="29FEE745" w14:textId="77777777" w:rsidR="002A0983" w:rsidRPr="00AD05B4" w:rsidRDefault="002A0983" w:rsidP="0058066A">
            <w:pPr>
              <w:spacing w:line="240" w:lineRule="auto"/>
              <w:contextualSpacing/>
              <w:jc w:val="right"/>
              <w:rPr>
                <w:sz w:val="20"/>
                <w:szCs w:val="20"/>
              </w:rPr>
            </w:pPr>
          </w:p>
        </w:tc>
        <w:tc>
          <w:tcPr>
            <w:tcW w:w="967" w:type="dxa"/>
            <w:tcBorders>
              <w:top w:val="nil"/>
              <w:left w:val="nil"/>
              <w:bottom w:val="nil"/>
              <w:right w:val="nil"/>
            </w:tcBorders>
            <w:shd w:val="clear" w:color="auto" w:fill="auto"/>
            <w:noWrap/>
            <w:vAlign w:val="bottom"/>
            <w:hideMark/>
          </w:tcPr>
          <w:p w14:paraId="32FB1204" w14:textId="77777777" w:rsidR="002A0983" w:rsidRPr="00AD05B4" w:rsidRDefault="002A0983" w:rsidP="0058066A">
            <w:pPr>
              <w:spacing w:line="240" w:lineRule="auto"/>
              <w:contextualSpacing/>
              <w:rPr>
                <w:sz w:val="20"/>
                <w:szCs w:val="20"/>
              </w:rPr>
            </w:pPr>
          </w:p>
        </w:tc>
        <w:tc>
          <w:tcPr>
            <w:tcW w:w="365" w:type="dxa"/>
            <w:tcBorders>
              <w:top w:val="nil"/>
              <w:left w:val="nil"/>
              <w:bottom w:val="nil"/>
              <w:right w:val="nil"/>
            </w:tcBorders>
            <w:shd w:val="clear" w:color="auto" w:fill="auto"/>
            <w:noWrap/>
            <w:vAlign w:val="bottom"/>
            <w:hideMark/>
          </w:tcPr>
          <w:p w14:paraId="64EEF606" w14:textId="77777777" w:rsidR="002A0983" w:rsidRPr="00AD05B4" w:rsidRDefault="002A0983" w:rsidP="0058066A">
            <w:pPr>
              <w:spacing w:line="240" w:lineRule="auto"/>
              <w:contextualSpacing/>
              <w:jc w:val="right"/>
              <w:rPr>
                <w:sz w:val="20"/>
                <w:szCs w:val="20"/>
              </w:rPr>
            </w:pPr>
          </w:p>
        </w:tc>
        <w:tc>
          <w:tcPr>
            <w:tcW w:w="281" w:type="dxa"/>
            <w:tcBorders>
              <w:top w:val="nil"/>
              <w:left w:val="nil"/>
              <w:bottom w:val="nil"/>
              <w:right w:val="nil"/>
            </w:tcBorders>
            <w:shd w:val="clear" w:color="auto" w:fill="auto"/>
            <w:vAlign w:val="bottom"/>
            <w:hideMark/>
          </w:tcPr>
          <w:p w14:paraId="3E612477" w14:textId="77777777" w:rsidR="002A0983" w:rsidRPr="00AD05B4" w:rsidRDefault="002A0983" w:rsidP="0058066A">
            <w:pPr>
              <w:spacing w:line="240" w:lineRule="auto"/>
              <w:contextualSpacing/>
              <w:jc w:val="right"/>
              <w:rPr>
                <w:sz w:val="20"/>
                <w:szCs w:val="20"/>
              </w:rPr>
            </w:pPr>
          </w:p>
        </w:tc>
        <w:tc>
          <w:tcPr>
            <w:tcW w:w="1045" w:type="dxa"/>
            <w:gridSpan w:val="2"/>
            <w:tcBorders>
              <w:top w:val="nil"/>
              <w:left w:val="nil"/>
              <w:bottom w:val="nil"/>
              <w:right w:val="nil"/>
            </w:tcBorders>
            <w:shd w:val="clear" w:color="auto" w:fill="auto"/>
            <w:noWrap/>
            <w:vAlign w:val="bottom"/>
            <w:hideMark/>
          </w:tcPr>
          <w:p w14:paraId="2FC0AC5E" w14:textId="77777777" w:rsidR="002A0983" w:rsidRPr="00AD05B4" w:rsidRDefault="002A0983" w:rsidP="0058066A">
            <w:pPr>
              <w:spacing w:line="240" w:lineRule="auto"/>
              <w:contextualSpacing/>
              <w:jc w:val="right"/>
              <w:rPr>
                <w:sz w:val="20"/>
                <w:szCs w:val="20"/>
              </w:rPr>
            </w:pPr>
          </w:p>
        </w:tc>
        <w:tc>
          <w:tcPr>
            <w:tcW w:w="290" w:type="dxa"/>
            <w:gridSpan w:val="2"/>
            <w:tcBorders>
              <w:top w:val="nil"/>
              <w:left w:val="nil"/>
              <w:bottom w:val="nil"/>
              <w:right w:val="nil"/>
            </w:tcBorders>
            <w:shd w:val="clear" w:color="auto" w:fill="auto"/>
            <w:noWrap/>
            <w:vAlign w:val="bottom"/>
            <w:hideMark/>
          </w:tcPr>
          <w:p w14:paraId="0DA16266" w14:textId="77777777" w:rsidR="002A0983" w:rsidRPr="00AD05B4" w:rsidRDefault="002A0983" w:rsidP="0058066A">
            <w:pPr>
              <w:spacing w:line="240" w:lineRule="auto"/>
              <w:contextualSpacing/>
              <w:jc w:val="right"/>
              <w:rPr>
                <w:sz w:val="20"/>
                <w:szCs w:val="20"/>
              </w:rPr>
            </w:pPr>
          </w:p>
        </w:tc>
        <w:tc>
          <w:tcPr>
            <w:tcW w:w="967" w:type="dxa"/>
            <w:gridSpan w:val="2"/>
            <w:tcBorders>
              <w:top w:val="nil"/>
              <w:left w:val="nil"/>
              <w:bottom w:val="nil"/>
              <w:right w:val="nil"/>
            </w:tcBorders>
            <w:shd w:val="clear" w:color="auto" w:fill="auto"/>
            <w:noWrap/>
            <w:vAlign w:val="bottom"/>
            <w:hideMark/>
          </w:tcPr>
          <w:p w14:paraId="0348AB24" w14:textId="77777777" w:rsidR="002A0983" w:rsidRPr="00AD05B4" w:rsidRDefault="002A0983" w:rsidP="0058066A">
            <w:pPr>
              <w:spacing w:line="240" w:lineRule="auto"/>
              <w:contextualSpacing/>
              <w:rPr>
                <w:sz w:val="20"/>
                <w:szCs w:val="20"/>
              </w:rPr>
            </w:pPr>
          </w:p>
        </w:tc>
      </w:tr>
      <w:tr w:rsidR="002A0983" w:rsidRPr="00AD05B4" w14:paraId="76E6F636" w14:textId="77777777" w:rsidTr="0028523C">
        <w:trPr>
          <w:trHeight w:val="166"/>
        </w:trPr>
        <w:tc>
          <w:tcPr>
            <w:tcW w:w="4939" w:type="dxa"/>
            <w:tcBorders>
              <w:top w:val="nil"/>
              <w:left w:val="nil"/>
              <w:bottom w:val="nil"/>
              <w:right w:val="nil"/>
            </w:tcBorders>
            <w:shd w:val="clear" w:color="auto" w:fill="auto"/>
            <w:vAlign w:val="bottom"/>
            <w:hideMark/>
          </w:tcPr>
          <w:p w14:paraId="6E10E596" w14:textId="77777777" w:rsidR="002A0983" w:rsidRPr="00AD05B4" w:rsidRDefault="002A0983" w:rsidP="0058066A">
            <w:pPr>
              <w:spacing w:line="240" w:lineRule="auto"/>
              <w:contextualSpacing/>
              <w:rPr>
                <w:rFonts w:ascii="Arial" w:eastAsia="PMingLiU" w:hAnsi="Arial" w:cs="Arial"/>
                <w:b/>
                <w:bCs/>
                <w:color w:val="000000"/>
                <w:sz w:val="18"/>
                <w:szCs w:val="18"/>
              </w:rPr>
            </w:pPr>
            <w:r>
              <w:rPr>
                <w:rFonts w:ascii="Arial" w:eastAsia="PMingLiU" w:hAnsi="Arial" w:hint="eastAsia"/>
                <w:b/>
                <w:bCs/>
                <w:color w:val="000000"/>
                <w:sz w:val="18"/>
                <w:szCs w:val="18"/>
              </w:rPr>
              <w:t>聯邦所得稅前的收入（虧損）</w:t>
            </w:r>
          </w:p>
        </w:tc>
        <w:tc>
          <w:tcPr>
            <w:tcW w:w="237" w:type="dxa"/>
            <w:tcBorders>
              <w:top w:val="nil"/>
              <w:left w:val="nil"/>
              <w:bottom w:val="nil"/>
              <w:right w:val="nil"/>
            </w:tcBorders>
            <w:shd w:val="clear" w:color="auto" w:fill="auto"/>
            <w:vAlign w:val="bottom"/>
            <w:hideMark/>
          </w:tcPr>
          <w:p w14:paraId="1944AB06" w14:textId="77777777" w:rsidR="002A0983" w:rsidRPr="00AD05B4" w:rsidRDefault="002A0983" w:rsidP="0058066A">
            <w:pPr>
              <w:spacing w:line="240" w:lineRule="auto"/>
              <w:contextualSpacing/>
              <w:jc w:val="right"/>
              <w:rPr>
                <w:rFonts w:ascii="Arial" w:eastAsia="PMingLiU" w:hAnsi="Arial" w:cs="Arial"/>
                <w:b/>
                <w:bCs/>
                <w:color w:val="000000"/>
                <w:sz w:val="18"/>
                <w:szCs w:val="18"/>
              </w:rPr>
            </w:pPr>
            <w:r>
              <w:rPr>
                <w:rFonts w:ascii="Arial" w:eastAsia="PMingLiU" w:hAnsi="Arial" w:hint="eastAsia"/>
                <w:b/>
                <w:bCs/>
                <w:color w:val="000000"/>
                <w:sz w:val="18"/>
                <w:szCs w:val="18"/>
              </w:rPr>
              <w:t>$</w:t>
            </w:r>
          </w:p>
        </w:tc>
        <w:tc>
          <w:tcPr>
            <w:tcW w:w="942" w:type="dxa"/>
            <w:tcBorders>
              <w:top w:val="nil"/>
              <w:left w:val="nil"/>
              <w:bottom w:val="nil"/>
              <w:right w:val="nil"/>
            </w:tcBorders>
            <w:shd w:val="clear" w:color="auto" w:fill="auto"/>
            <w:noWrap/>
            <w:vAlign w:val="bottom"/>
            <w:hideMark/>
          </w:tcPr>
          <w:p w14:paraId="7A61BEA5" w14:textId="6B8DBA17" w:rsidR="002A0983" w:rsidRPr="00AD05B4" w:rsidRDefault="00DB1B7D" w:rsidP="00040985">
            <w:pPr>
              <w:spacing w:line="240" w:lineRule="auto"/>
              <w:contextualSpacing/>
              <w:jc w:val="right"/>
              <w:rPr>
                <w:rFonts w:ascii="Arial" w:eastAsia="PMingLiU" w:hAnsi="Arial" w:cs="Arial"/>
                <w:b/>
                <w:bCs/>
                <w:color w:val="000000"/>
                <w:sz w:val="18"/>
                <w:szCs w:val="18"/>
              </w:rPr>
            </w:pPr>
            <w:r>
              <w:rPr>
                <w:rFonts w:ascii="Arial" w:eastAsia="PMingLiU" w:hAnsi="Arial" w:hint="eastAsia"/>
                <w:b/>
                <w:bCs/>
                <w:color w:val="000000"/>
                <w:sz w:val="18"/>
                <w:szCs w:val="18"/>
              </w:rPr>
              <w:t>2,323</w:t>
            </w:r>
          </w:p>
        </w:tc>
        <w:tc>
          <w:tcPr>
            <w:tcW w:w="290" w:type="dxa"/>
            <w:tcBorders>
              <w:top w:val="nil"/>
              <w:left w:val="nil"/>
              <w:bottom w:val="nil"/>
              <w:right w:val="nil"/>
            </w:tcBorders>
            <w:shd w:val="clear" w:color="auto" w:fill="auto"/>
            <w:noWrap/>
            <w:vAlign w:val="bottom"/>
            <w:hideMark/>
          </w:tcPr>
          <w:p w14:paraId="12DBCC5C" w14:textId="77777777" w:rsidR="002A0983" w:rsidRPr="00AD05B4" w:rsidRDefault="002A0983" w:rsidP="00040985">
            <w:pPr>
              <w:spacing w:line="240" w:lineRule="auto"/>
              <w:contextualSpacing/>
              <w:jc w:val="right"/>
              <w:rPr>
                <w:rFonts w:ascii="Arial" w:hAnsi="Arial" w:cs="Arial"/>
                <w:b/>
                <w:bCs/>
                <w:color w:val="000000"/>
                <w:sz w:val="18"/>
                <w:szCs w:val="18"/>
              </w:rPr>
            </w:pPr>
          </w:p>
        </w:tc>
        <w:tc>
          <w:tcPr>
            <w:tcW w:w="967" w:type="dxa"/>
            <w:tcBorders>
              <w:top w:val="nil"/>
              <w:left w:val="nil"/>
              <w:bottom w:val="nil"/>
              <w:right w:val="nil"/>
            </w:tcBorders>
            <w:shd w:val="clear" w:color="auto" w:fill="auto"/>
            <w:noWrap/>
            <w:vAlign w:val="bottom"/>
            <w:hideMark/>
          </w:tcPr>
          <w:p w14:paraId="153BA830" w14:textId="4970CE8F" w:rsidR="002A0983" w:rsidRPr="00AD05B4" w:rsidRDefault="00377371" w:rsidP="00902000">
            <w:pPr>
              <w:spacing w:line="240" w:lineRule="auto"/>
              <w:contextualSpacing/>
              <w:jc w:val="right"/>
              <w:rPr>
                <w:rFonts w:ascii="Arial" w:eastAsia="PMingLiU" w:hAnsi="Arial" w:cs="Arial"/>
                <w:b/>
                <w:bCs/>
                <w:color w:val="000000"/>
                <w:sz w:val="18"/>
                <w:szCs w:val="18"/>
              </w:rPr>
            </w:pPr>
            <w:r>
              <w:rPr>
                <w:rFonts w:ascii="Arial" w:eastAsia="PMingLiU" w:hAnsi="Arial" w:hint="eastAsia"/>
                <w:b/>
                <w:bCs/>
                <w:color w:val="000000"/>
                <w:sz w:val="18"/>
                <w:szCs w:val="18"/>
              </w:rPr>
              <w:t>(</w:t>
            </w:r>
            <w:r w:rsidR="00902000">
              <w:rPr>
                <w:rFonts w:ascii="Arial" w:eastAsia="PMingLiU" w:hAnsi="Arial" w:hint="eastAsia"/>
                <w:b/>
                <w:bCs/>
                <w:color w:val="000000"/>
                <w:sz w:val="18"/>
                <w:szCs w:val="18"/>
              </w:rPr>
              <w:t>6,813</w:t>
            </w:r>
            <w:r>
              <w:rPr>
                <w:rFonts w:ascii="Arial" w:eastAsia="PMingLiU" w:hAnsi="Arial"/>
                <w:b/>
                <w:bCs/>
                <w:color w:val="000000"/>
                <w:sz w:val="18"/>
                <w:szCs w:val="18"/>
              </w:rPr>
              <w:t>)</w:t>
            </w:r>
          </w:p>
        </w:tc>
        <w:tc>
          <w:tcPr>
            <w:tcW w:w="365" w:type="dxa"/>
            <w:tcBorders>
              <w:top w:val="nil"/>
              <w:left w:val="nil"/>
              <w:bottom w:val="nil"/>
              <w:right w:val="nil"/>
            </w:tcBorders>
            <w:shd w:val="clear" w:color="auto" w:fill="auto"/>
            <w:noWrap/>
            <w:vAlign w:val="bottom"/>
            <w:hideMark/>
          </w:tcPr>
          <w:p w14:paraId="2CAFE6D8" w14:textId="77777777" w:rsidR="002A0983" w:rsidRPr="00AD05B4" w:rsidRDefault="002A0983" w:rsidP="00040985">
            <w:pPr>
              <w:spacing w:line="240" w:lineRule="auto"/>
              <w:contextualSpacing/>
              <w:jc w:val="right"/>
              <w:rPr>
                <w:rFonts w:ascii="Arial" w:hAnsi="Arial" w:cs="Arial"/>
                <w:b/>
                <w:bCs/>
                <w:color w:val="000000"/>
                <w:sz w:val="18"/>
                <w:szCs w:val="18"/>
              </w:rPr>
            </w:pPr>
          </w:p>
        </w:tc>
        <w:tc>
          <w:tcPr>
            <w:tcW w:w="281" w:type="dxa"/>
            <w:tcBorders>
              <w:top w:val="nil"/>
              <w:left w:val="nil"/>
              <w:bottom w:val="nil"/>
              <w:right w:val="nil"/>
            </w:tcBorders>
            <w:shd w:val="clear" w:color="auto" w:fill="auto"/>
            <w:vAlign w:val="bottom"/>
            <w:hideMark/>
          </w:tcPr>
          <w:p w14:paraId="7337C927" w14:textId="77777777" w:rsidR="002A0983" w:rsidRPr="00AD05B4" w:rsidRDefault="002A0983" w:rsidP="00040985">
            <w:pPr>
              <w:spacing w:line="240" w:lineRule="auto"/>
              <w:contextualSpacing/>
              <w:jc w:val="right"/>
              <w:rPr>
                <w:rFonts w:ascii="Arial" w:eastAsia="PMingLiU" w:hAnsi="Arial" w:cs="Arial"/>
                <w:b/>
                <w:bCs/>
                <w:color w:val="000000"/>
                <w:sz w:val="18"/>
                <w:szCs w:val="18"/>
              </w:rPr>
            </w:pPr>
            <w:r>
              <w:rPr>
                <w:rFonts w:ascii="Arial" w:eastAsia="PMingLiU" w:hAnsi="Arial" w:hint="eastAsia"/>
                <w:b/>
                <w:bCs/>
                <w:color w:val="000000"/>
                <w:sz w:val="18"/>
                <w:szCs w:val="18"/>
              </w:rPr>
              <w:t>$</w:t>
            </w:r>
          </w:p>
        </w:tc>
        <w:tc>
          <w:tcPr>
            <w:tcW w:w="1045" w:type="dxa"/>
            <w:gridSpan w:val="2"/>
            <w:tcBorders>
              <w:top w:val="nil"/>
              <w:left w:val="nil"/>
              <w:bottom w:val="nil"/>
              <w:right w:val="nil"/>
            </w:tcBorders>
            <w:shd w:val="clear" w:color="auto" w:fill="auto"/>
            <w:noWrap/>
            <w:vAlign w:val="bottom"/>
            <w:hideMark/>
          </w:tcPr>
          <w:p w14:paraId="3E2CD175" w14:textId="4B0919CA" w:rsidR="002A0983" w:rsidRPr="00AD05B4" w:rsidRDefault="00377371" w:rsidP="00377371">
            <w:pPr>
              <w:spacing w:line="240" w:lineRule="auto"/>
              <w:contextualSpacing/>
              <w:jc w:val="center"/>
              <w:rPr>
                <w:rFonts w:ascii="Arial" w:eastAsia="PMingLiU" w:hAnsi="Arial" w:cs="Arial"/>
                <w:b/>
                <w:bCs/>
                <w:color w:val="000000"/>
                <w:sz w:val="18"/>
                <w:szCs w:val="18"/>
              </w:rPr>
            </w:pPr>
            <w:r>
              <w:rPr>
                <w:rFonts w:ascii="Arial" w:eastAsia="PMingLiU" w:hAnsi="Arial" w:hint="eastAsia"/>
                <w:b/>
                <w:bCs/>
                <w:color w:val="000000"/>
                <w:sz w:val="18"/>
                <w:szCs w:val="18"/>
              </w:rPr>
              <w:t>(</w:t>
            </w:r>
            <w:r w:rsidR="00902000">
              <w:rPr>
                <w:rFonts w:ascii="Arial" w:eastAsia="PMingLiU" w:hAnsi="Arial" w:hint="eastAsia"/>
                <w:b/>
                <w:bCs/>
                <w:color w:val="000000"/>
                <w:sz w:val="18"/>
                <w:szCs w:val="18"/>
              </w:rPr>
              <w:t>7,067</w:t>
            </w:r>
            <w:r>
              <w:rPr>
                <w:rFonts w:ascii="Arial" w:eastAsia="PMingLiU" w:hAnsi="Arial" w:hint="eastAsia"/>
                <w:b/>
                <w:bCs/>
                <w:color w:val="000000"/>
                <w:sz w:val="18"/>
                <w:szCs w:val="18"/>
              </w:rPr>
              <w:t>)</w:t>
            </w:r>
          </w:p>
        </w:tc>
        <w:tc>
          <w:tcPr>
            <w:tcW w:w="290" w:type="dxa"/>
            <w:gridSpan w:val="2"/>
            <w:tcBorders>
              <w:top w:val="nil"/>
              <w:left w:val="nil"/>
              <w:bottom w:val="nil"/>
              <w:right w:val="nil"/>
            </w:tcBorders>
            <w:shd w:val="clear" w:color="auto" w:fill="auto"/>
            <w:noWrap/>
            <w:vAlign w:val="bottom"/>
            <w:hideMark/>
          </w:tcPr>
          <w:p w14:paraId="586C4BBF" w14:textId="77777777" w:rsidR="002A0983" w:rsidRPr="00AD05B4" w:rsidRDefault="002A0983" w:rsidP="00902000">
            <w:pPr>
              <w:spacing w:line="240" w:lineRule="auto"/>
              <w:contextualSpacing/>
              <w:jc w:val="right"/>
              <w:rPr>
                <w:rFonts w:ascii="Arial" w:hAnsi="Arial" w:cs="Arial"/>
                <w:b/>
                <w:bCs/>
                <w:color w:val="000000"/>
                <w:sz w:val="18"/>
                <w:szCs w:val="18"/>
              </w:rPr>
            </w:pPr>
          </w:p>
        </w:tc>
        <w:tc>
          <w:tcPr>
            <w:tcW w:w="967" w:type="dxa"/>
            <w:gridSpan w:val="2"/>
            <w:tcBorders>
              <w:top w:val="nil"/>
              <w:left w:val="nil"/>
              <w:bottom w:val="nil"/>
              <w:right w:val="nil"/>
            </w:tcBorders>
            <w:shd w:val="clear" w:color="auto" w:fill="auto"/>
            <w:noWrap/>
            <w:vAlign w:val="bottom"/>
            <w:hideMark/>
          </w:tcPr>
          <w:p w14:paraId="4DA2BAD9" w14:textId="677BA110" w:rsidR="002A0983" w:rsidRPr="00AD05B4" w:rsidRDefault="00377371" w:rsidP="00902000">
            <w:pPr>
              <w:spacing w:line="240" w:lineRule="auto"/>
              <w:contextualSpacing/>
              <w:jc w:val="center"/>
              <w:rPr>
                <w:rFonts w:ascii="Arial" w:eastAsia="PMingLiU" w:hAnsi="Arial" w:cs="Arial"/>
                <w:b/>
                <w:bCs/>
                <w:color w:val="000000"/>
                <w:sz w:val="18"/>
                <w:szCs w:val="18"/>
              </w:rPr>
            </w:pPr>
            <w:r>
              <w:rPr>
                <w:rFonts w:ascii="Arial" w:eastAsia="PMingLiU" w:hAnsi="Arial" w:hint="eastAsia"/>
                <w:b/>
                <w:bCs/>
                <w:color w:val="000000"/>
                <w:sz w:val="18"/>
                <w:szCs w:val="18"/>
              </w:rPr>
              <w:t>(</w:t>
            </w:r>
            <w:r w:rsidR="006E03E7">
              <w:rPr>
                <w:rFonts w:ascii="Arial" w:eastAsia="PMingLiU" w:hAnsi="Arial" w:hint="eastAsia"/>
                <w:b/>
                <w:bCs/>
                <w:color w:val="000000"/>
                <w:sz w:val="18"/>
                <w:szCs w:val="18"/>
              </w:rPr>
              <w:t>6,688</w:t>
            </w:r>
            <w:r>
              <w:rPr>
                <w:rFonts w:ascii="Arial" w:eastAsia="PMingLiU" w:hAnsi="Arial" w:hint="eastAsia"/>
                <w:b/>
                <w:bCs/>
                <w:color w:val="000000"/>
                <w:sz w:val="18"/>
                <w:szCs w:val="18"/>
              </w:rPr>
              <w:t>)</w:t>
            </w:r>
          </w:p>
        </w:tc>
      </w:tr>
      <w:tr w:rsidR="002A0983" w:rsidRPr="00AD05B4" w14:paraId="2FD20BF8" w14:textId="77777777" w:rsidTr="0028523C">
        <w:trPr>
          <w:trHeight w:val="166"/>
        </w:trPr>
        <w:tc>
          <w:tcPr>
            <w:tcW w:w="4939" w:type="dxa"/>
            <w:tcBorders>
              <w:top w:val="nil"/>
              <w:left w:val="nil"/>
              <w:bottom w:val="nil"/>
              <w:right w:val="nil"/>
            </w:tcBorders>
            <w:shd w:val="clear" w:color="000000" w:fill="FFFFFF"/>
            <w:noWrap/>
            <w:vAlign w:val="bottom"/>
            <w:hideMark/>
          </w:tcPr>
          <w:p w14:paraId="15807E97" w14:textId="77777777" w:rsidR="002A0983" w:rsidRPr="00AD05B4" w:rsidRDefault="002A0983" w:rsidP="0058066A">
            <w:pPr>
              <w:spacing w:line="240" w:lineRule="auto"/>
              <w:contextualSpacing/>
              <w:rPr>
                <w:rFonts w:ascii="Arial" w:eastAsia="PMingLiU" w:hAnsi="Arial" w:cs="Arial"/>
                <w:sz w:val="18"/>
                <w:szCs w:val="18"/>
              </w:rPr>
            </w:pPr>
            <w:r>
              <w:rPr>
                <w:rFonts w:ascii="Arial" w:eastAsia="PMingLiU" w:hAnsi="Arial" w:hint="eastAsia"/>
                <w:sz w:val="18"/>
                <w:szCs w:val="18"/>
              </w:rPr>
              <w:t>較少的：</w:t>
            </w:r>
          </w:p>
        </w:tc>
        <w:tc>
          <w:tcPr>
            <w:tcW w:w="237" w:type="dxa"/>
            <w:tcBorders>
              <w:top w:val="nil"/>
              <w:left w:val="nil"/>
              <w:bottom w:val="nil"/>
              <w:right w:val="nil"/>
            </w:tcBorders>
            <w:shd w:val="clear" w:color="auto" w:fill="auto"/>
            <w:vAlign w:val="bottom"/>
            <w:hideMark/>
          </w:tcPr>
          <w:p w14:paraId="7D851BD4" w14:textId="77777777" w:rsidR="002A0983" w:rsidRPr="00AD05B4" w:rsidRDefault="002A0983" w:rsidP="0058066A">
            <w:pPr>
              <w:spacing w:line="240" w:lineRule="auto"/>
              <w:contextualSpacing/>
              <w:rPr>
                <w:rFonts w:ascii="Arial" w:hAnsi="Arial" w:cs="Arial"/>
                <w:sz w:val="18"/>
                <w:szCs w:val="18"/>
              </w:rPr>
            </w:pPr>
          </w:p>
        </w:tc>
        <w:tc>
          <w:tcPr>
            <w:tcW w:w="942" w:type="dxa"/>
            <w:tcBorders>
              <w:top w:val="nil"/>
              <w:left w:val="nil"/>
              <w:bottom w:val="nil"/>
              <w:right w:val="nil"/>
            </w:tcBorders>
            <w:shd w:val="clear" w:color="auto" w:fill="auto"/>
            <w:noWrap/>
            <w:vAlign w:val="bottom"/>
            <w:hideMark/>
          </w:tcPr>
          <w:p w14:paraId="76897DF6" w14:textId="77777777" w:rsidR="002A0983" w:rsidRPr="00AD05B4" w:rsidRDefault="002A0983" w:rsidP="00040985">
            <w:pPr>
              <w:spacing w:line="240" w:lineRule="auto"/>
              <w:contextualSpacing/>
              <w:jc w:val="right"/>
              <w:rPr>
                <w:sz w:val="20"/>
                <w:szCs w:val="20"/>
              </w:rPr>
            </w:pPr>
          </w:p>
        </w:tc>
        <w:tc>
          <w:tcPr>
            <w:tcW w:w="290" w:type="dxa"/>
            <w:tcBorders>
              <w:top w:val="nil"/>
              <w:left w:val="nil"/>
              <w:bottom w:val="nil"/>
              <w:right w:val="nil"/>
            </w:tcBorders>
            <w:shd w:val="clear" w:color="auto" w:fill="auto"/>
            <w:noWrap/>
            <w:vAlign w:val="bottom"/>
            <w:hideMark/>
          </w:tcPr>
          <w:p w14:paraId="13B24094" w14:textId="77777777" w:rsidR="002A0983" w:rsidRPr="00AD05B4" w:rsidRDefault="002A0983" w:rsidP="00040985">
            <w:pPr>
              <w:spacing w:line="240" w:lineRule="auto"/>
              <w:contextualSpacing/>
              <w:jc w:val="right"/>
              <w:rPr>
                <w:sz w:val="20"/>
                <w:szCs w:val="20"/>
              </w:rPr>
            </w:pPr>
          </w:p>
        </w:tc>
        <w:tc>
          <w:tcPr>
            <w:tcW w:w="967" w:type="dxa"/>
            <w:tcBorders>
              <w:top w:val="nil"/>
              <w:left w:val="nil"/>
              <w:bottom w:val="nil"/>
              <w:right w:val="nil"/>
            </w:tcBorders>
            <w:shd w:val="clear" w:color="auto" w:fill="auto"/>
            <w:noWrap/>
            <w:vAlign w:val="bottom"/>
            <w:hideMark/>
          </w:tcPr>
          <w:p w14:paraId="38642B22" w14:textId="77777777" w:rsidR="002A0983" w:rsidRPr="00AD05B4" w:rsidRDefault="002A0983" w:rsidP="00902000">
            <w:pPr>
              <w:spacing w:line="240" w:lineRule="auto"/>
              <w:contextualSpacing/>
              <w:jc w:val="right"/>
              <w:rPr>
                <w:sz w:val="20"/>
                <w:szCs w:val="20"/>
              </w:rPr>
            </w:pPr>
          </w:p>
        </w:tc>
        <w:tc>
          <w:tcPr>
            <w:tcW w:w="365" w:type="dxa"/>
            <w:tcBorders>
              <w:top w:val="nil"/>
              <w:left w:val="nil"/>
              <w:bottom w:val="nil"/>
              <w:right w:val="nil"/>
            </w:tcBorders>
            <w:shd w:val="clear" w:color="auto" w:fill="auto"/>
            <w:noWrap/>
            <w:vAlign w:val="bottom"/>
            <w:hideMark/>
          </w:tcPr>
          <w:p w14:paraId="75D7881F" w14:textId="77777777" w:rsidR="002A0983" w:rsidRPr="00AD05B4" w:rsidRDefault="002A0983" w:rsidP="00040985">
            <w:pPr>
              <w:spacing w:line="240" w:lineRule="auto"/>
              <w:contextualSpacing/>
              <w:jc w:val="right"/>
              <w:rPr>
                <w:sz w:val="20"/>
                <w:szCs w:val="20"/>
              </w:rPr>
            </w:pPr>
          </w:p>
        </w:tc>
        <w:tc>
          <w:tcPr>
            <w:tcW w:w="281" w:type="dxa"/>
            <w:tcBorders>
              <w:top w:val="nil"/>
              <w:left w:val="nil"/>
              <w:bottom w:val="nil"/>
              <w:right w:val="nil"/>
            </w:tcBorders>
            <w:shd w:val="clear" w:color="auto" w:fill="auto"/>
            <w:vAlign w:val="bottom"/>
            <w:hideMark/>
          </w:tcPr>
          <w:p w14:paraId="688E061E" w14:textId="77777777" w:rsidR="002A0983" w:rsidRPr="00AD05B4" w:rsidRDefault="002A0983" w:rsidP="00040985">
            <w:pPr>
              <w:spacing w:line="240" w:lineRule="auto"/>
              <w:contextualSpacing/>
              <w:jc w:val="right"/>
              <w:rPr>
                <w:sz w:val="20"/>
                <w:szCs w:val="20"/>
              </w:rPr>
            </w:pPr>
          </w:p>
        </w:tc>
        <w:tc>
          <w:tcPr>
            <w:tcW w:w="1045" w:type="dxa"/>
            <w:gridSpan w:val="2"/>
            <w:tcBorders>
              <w:top w:val="nil"/>
              <w:left w:val="nil"/>
              <w:bottom w:val="nil"/>
              <w:right w:val="nil"/>
            </w:tcBorders>
            <w:shd w:val="clear" w:color="auto" w:fill="auto"/>
            <w:noWrap/>
            <w:vAlign w:val="bottom"/>
            <w:hideMark/>
          </w:tcPr>
          <w:p w14:paraId="2B8DACA7" w14:textId="77777777" w:rsidR="002A0983" w:rsidRPr="00AD05B4" w:rsidRDefault="002A0983" w:rsidP="00052AA4">
            <w:pPr>
              <w:spacing w:line="240" w:lineRule="auto"/>
              <w:contextualSpacing/>
              <w:jc w:val="right"/>
              <w:rPr>
                <w:sz w:val="20"/>
                <w:szCs w:val="20"/>
              </w:rPr>
            </w:pPr>
          </w:p>
        </w:tc>
        <w:tc>
          <w:tcPr>
            <w:tcW w:w="290" w:type="dxa"/>
            <w:gridSpan w:val="2"/>
            <w:tcBorders>
              <w:top w:val="nil"/>
              <w:left w:val="nil"/>
              <w:bottom w:val="nil"/>
              <w:right w:val="nil"/>
            </w:tcBorders>
            <w:shd w:val="clear" w:color="auto" w:fill="auto"/>
            <w:noWrap/>
            <w:vAlign w:val="bottom"/>
            <w:hideMark/>
          </w:tcPr>
          <w:p w14:paraId="752550E4" w14:textId="77777777" w:rsidR="002A0983" w:rsidRPr="00AD05B4" w:rsidRDefault="002A0983" w:rsidP="00902000">
            <w:pPr>
              <w:spacing w:line="240" w:lineRule="auto"/>
              <w:contextualSpacing/>
              <w:jc w:val="right"/>
              <w:rPr>
                <w:sz w:val="20"/>
                <w:szCs w:val="20"/>
              </w:rPr>
            </w:pPr>
          </w:p>
        </w:tc>
        <w:tc>
          <w:tcPr>
            <w:tcW w:w="967" w:type="dxa"/>
            <w:gridSpan w:val="2"/>
            <w:tcBorders>
              <w:top w:val="nil"/>
              <w:left w:val="nil"/>
              <w:bottom w:val="nil"/>
              <w:right w:val="nil"/>
            </w:tcBorders>
            <w:shd w:val="clear" w:color="auto" w:fill="auto"/>
            <w:noWrap/>
            <w:vAlign w:val="bottom"/>
            <w:hideMark/>
          </w:tcPr>
          <w:p w14:paraId="339D2CF2" w14:textId="77777777" w:rsidR="002A0983" w:rsidRPr="00AD05B4" w:rsidRDefault="002A0983" w:rsidP="00902000">
            <w:pPr>
              <w:spacing w:line="240" w:lineRule="auto"/>
              <w:contextualSpacing/>
              <w:jc w:val="right"/>
              <w:rPr>
                <w:sz w:val="20"/>
                <w:szCs w:val="20"/>
              </w:rPr>
            </w:pPr>
          </w:p>
        </w:tc>
      </w:tr>
      <w:tr w:rsidR="00902000" w:rsidRPr="00AD05B4" w14:paraId="5C5DC6C2" w14:textId="77777777" w:rsidTr="003614F3">
        <w:trPr>
          <w:gridAfter w:val="1"/>
          <w:wAfter w:w="103" w:type="dxa"/>
          <w:trHeight w:val="166"/>
        </w:trPr>
        <w:tc>
          <w:tcPr>
            <w:tcW w:w="4939" w:type="dxa"/>
            <w:tcBorders>
              <w:top w:val="nil"/>
              <w:left w:val="nil"/>
              <w:bottom w:val="nil"/>
              <w:right w:val="nil"/>
            </w:tcBorders>
            <w:shd w:val="clear" w:color="000000" w:fill="FFFFFF"/>
            <w:noWrap/>
            <w:vAlign w:val="bottom"/>
            <w:hideMark/>
          </w:tcPr>
          <w:p w14:paraId="2821EA95" w14:textId="77777777" w:rsidR="00902000" w:rsidRPr="00AD05B4" w:rsidRDefault="00902000" w:rsidP="0058066A">
            <w:pPr>
              <w:spacing w:line="240" w:lineRule="auto"/>
              <w:ind w:firstLineChars="100" w:firstLine="180"/>
              <w:contextualSpacing/>
              <w:rPr>
                <w:rFonts w:ascii="Arial" w:eastAsia="PMingLiU" w:hAnsi="Arial" w:cs="Arial"/>
                <w:sz w:val="18"/>
                <w:szCs w:val="18"/>
              </w:rPr>
            </w:pPr>
            <w:r>
              <w:rPr>
                <w:rFonts w:ascii="Arial" w:eastAsia="PMingLiU" w:hAnsi="Arial" w:hint="eastAsia"/>
                <w:sz w:val="18"/>
                <w:szCs w:val="18"/>
              </w:rPr>
              <w:t>扣除投資相關收益（虧損）</w:t>
            </w:r>
          </w:p>
        </w:tc>
        <w:tc>
          <w:tcPr>
            <w:tcW w:w="237" w:type="dxa"/>
            <w:tcBorders>
              <w:top w:val="nil"/>
              <w:left w:val="nil"/>
              <w:right w:val="nil"/>
            </w:tcBorders>
            <w:shd w:val="clear" w:color="auto" w:fill="auto"/>
            <w:vAlign w:val="bottom"/>
            <w:hideMark/>
          </w:tcPr>
          <w:p w14:paraId="38312687" w14:textId="77777777" w:rsidR="00902000" w:rsidRPr="00AD05B4" w:rsidRDefault="00902000" w:rsidP="0058066A">
            <w:pPr>
              <w:spacing w:line="240" w:lineRule="auto"/>
              <w:ind w:firstLineChars="100" w:firstLine="180"/>
              <w:contextualSpacing/>
              <w:rPr>
                <w:rFonts w:ascii="Arial" w:hAnsi="Arial" w:cs="Arial"/>
                <w:sz w:val="18"/>
                <w:szCs w:val="18"/>
              </w:rPr>
            </w:pPr>
          </w:p>
        </w:tc>
        <w:tc>
          <w:tcPr>
            <w:tcW w:w="942" w:type="dxa"/>
            <w:tcBorders>
              <w:top w:val="nil"/>
              <w:left w:val="nil"/>
              <w:right w:val="nil"/>
            </w:tcBorders>
            <w:shd w:val="clear" w:color="auto" w:fill="auto"/>
            <w:noWrap/>
            <w:vAlign w:val="bottom"/>
            <w:hideMark/>
          </w:tcPr>
          <w:p w14:paraId="509FDF0F" w14:textId="38F1B288" w:rsidR="00902000" w:rsidRPr="00AD05B4" w:rsidRDefault="00902000" w:rsidP="00040985">
            <w:pPr>
              <w:spacing w:line="240" w:lineRule="auto"/>
              <w:contextualSpacing/>
              <w:jc w:val="right"/>
              <w:rPr>
                <w:rFonts w:ascii="Arial" w:eastAsia="PMingLiU" w:hAnsi="Arial" w:cs="Arial"/>
                <w:color w:val="000000"/>
                <w:sz w:val="18"/>
                <w:szCs w:val="18"/>
              </w:rPr>
            </w:pPr>
            <w:r>
              <w:rPr>
                <w:rFonts w:ascii="Arial" w:eastAsia="PMingLiU" w:hAnsi="Arial" w:hint="eastAsia"/>
                <w:color w:val="000000"/>
                <w:sz w:val="18"/>
                <w:szCs w:val="18"/>
              </w:rPr>
              <w:t>298</w:t>
            </w:r>
          </w:p>
        </w:tc>
        <w:tc>
          <w:tcPr>
            <w:tcW w:w="290" w:type="dxa"/>
            <w:tcBorders>
              <w:top w:val="nil"/>
              <w:left w:val="nil"/>
              <w:bottom w:val="nil"/>
              <w:right w:val="nil"/>
            </w:tcBorders>
            <w:shd w:val="clear" w:color="auto" w:fill="auto"/>
            <w:noWrap/>
            <w:vAlign w:val="bottom"/>
            <w:hideMark/>
          </w:tcPr>
          <w:p w14:paraId="203D305F" w14:textId="77777777" w:rsidR="00902000" w:rsidRPr="00AD05B4" w:rsidRDefault="00902000" w:rsidP="00040985">
            <w:pPr>
              <w:spacing w:line="240" w:lineRule="auto"/>
              <w:contextualSpacing/>
              <w:jc w:val="right"/>
              <w:rPr>
                <w:rFonts w:ascii="Arial" w:hAnsi="Arial" w:cs="Arial"/>
                <w:color w:val="000000"/>
                <w:sz w:val="18"/>
                <w:szCs w:val="18"/>
              </w:rPr>
            </w:pPr>
          </w:p>
        </w:tc>
        <w:tc>
          <w:tcPr>
            <w:tcW w:w="967" w:type="dxa"/>
            <w:tcBorders>
              <w:top w:val="nil"/>
              <w:left w:val="nil"/>
              <w:right w:val="nil"/>
            </w:tcBorders>
            <w:shd w:val="clear" w:color="auto" w:fill="auto"/>
            <w:noWrap/>
            <w:vAlign w:val="bottom"/>
            <w:hideMark/>
          </w:tcPr>
          <w:p w14:paraId="667571E5" w14:textId="2B5AD849" w:rsidR="00902000" w:rsidRPr="00AD05B4" w:rsidRDefault="00902000" w:rsidP="00902000">
            <w:pPr>
              <w:spacing w:line="240" w:lineRule="auto"/>
              <w:contextualSpacing/>
              <w:jc w:val="right"/>
              <w:rPr>
                <w:rFonts w:ascii="Arial" w:eastAsia="PMingLiU" w:hAnsi="Arial" w:cs="Arial"/>
                <w:color w:val="000000"/>
                <w:sz w:val="18"/>
                <w:szCs w:val="18"/>
              </w:rPr>
            </w:pPr>
            <w:r>
              <w:rPr>
                <w:rFonts w:ascii="Arial" w:eastAsia="PMingLiU" w:hAnsi="Arial" w:hint="eastAsia"/>
                <w:color w:val="000000"/>
                <w:sz w:val="18"/>
                <w:szCs w:val="18"/>
              </w:rPr>
              <w:t xml:space="preserve">3,714 </w:t>
            </w:r>
          </w:p>
        </w:tc>
        <w:tc>
          <w:tcPr>
            <w:tcW w:w="365" w:type="dxa"/>
            <w:tcBorders>
              <w:top w:val="nil"/>
              <w:left w:val="nil"/>
              <w:bottom w:val="nil"/>
              <w:right w:val="nil"/>
            </w:tcBorders>
            <w:shd w:val="clear" w:color="auto" w:fill="auto"/>
            <w:noWrap/>
            <w:vAlign w:val="bottom"/>
            <w:hideMark/>
          </w:tcPr>
          <w:p w14:paraId="429F3FAC" w14:textId="77777777" w:rsidR="00902000" w:rsidRPr="00AD05B4" w:rsidRDefault="00902000" w:rsidP="00040985">
            <w:pPr>
              <w:spacing w:line="240" w:lineRule="auto"/>
              <w:contextualSpacing/>
              <w:jc w:val="right"/>
              <w:rPr>
                <w:rFonts w:ascii="Arial" w:hAnsi="Arial" w:cs="Arial"/>
                <w:color w:val="000000"/>
                <w:sz w:val="18"/>
                <w:szCs w:val="18"/>
              </w:rPr>
            </w:pPr>
          </w:p>
        </w:tc>
        <w:tc>
          <w:tcPr>
            <w:tcW w:w="281" w:type="dxa"/>
            <w:tcBorders>
              <w:top w:val="nil"/>
              <w:left w:val="nil"/>
              <w:right w:val="nil"/>
            </w:tcBorders>
            <w:shd w:val="clear" w:color="auto" w:fill="auto"/>
            <w:vAlign w:val="bottom"/>
            <w:hideMark/>
          </w:tcPr>
          <w:p w14:paraId="725A8F62" w14:textId="3189046A" w:rsidR="00902000" w:rsidRPr="00AD05B4" w:rsidRDefault="00902000" w:rsidP="00052AA4">
            <w:pPr>
              <w:spacing w:line="240" w:lineRule="auto"/>
              <w:contextualSpacing/>
              <w:rPr>
                <w:sz w:val="20"/>
                <w:szCs w:val="20"/>
              </w:rPr>
            </w:pPr>
          </w:p>
        </w:tc>
        <w:tc>
          <w:tcPr>
            <w:tcW w:w="966" w:type="dxa"/>
            <w:tcBorders>
              <w:top w:val="nil"/>
              <w:left w:val="nil"/>
              <w:right w:val="nil"/>
            </w:tcBorders>
            <w:shd w:val="clear" w:color="auto" w:fill="auto"/>
            <w:noWrap/>
            <w:vAlign w:val="bottom"/>
            <w:hideMark/>
          </w:tcPr>
          <w:p w14:paraId="173BA401" w14:textId="05CD50D4" w:rsidR="00902000" w:rsidRPr="00AD05B4" w:rsidRDefault="00377371" w:rsidP="00377371">
            <w:pPr>
              <w:spacing w:line="240" w:lineRule="auto"/>
              <w:contextualSpacing/>
              <w:jc w:val="right"/>
              <w:rPr>
                <w:rFonts w:ascii="Arial" w:eastAsia="PMingLiU" w:hAnsi="Arial" w:cs="Arial"/>
                <w:color w:val="000000"/>
                <w:sz w:val="18"/>
                <w:szCs w:val="18"/>
              </w:rPr>
            </w:pPr>
            <w:r>
              <w:rPr>
                <w:rFonts w:ascii="Arial" w:eastAsia="PMingLiU" w:hAnsi="Arial" w:hint="eastAsia"/>
                <w:color w:val="000000"/>
                <w:sz w:val="18"/>
                <w:szCs w:val="18"/>
              </w:rPr>
              <w:t>(</w:t>
            </w:r>
            <w:r w:rsidR="00902000">
              <w:rPr>
                <w:rFonts w:ascii="Arial" w:eastAsia="PMingLiU" w:hAnsi="Arial" w:hint="eastAsia"/>
                <w:color w:val="000000"/>
                <w:sz w:val="18"/>
                <w:szCs w:val="18"/>
              </w:rPr>
              <w:t>10,291</w:t>
            </w:r>
            <w:r>
              <w:rPr>
                <w:rFonts w:ascii="Arial" w:eastAsia="PMingLiU" w:hAnsi="Arial" w:hint="eastAsia"/>
                <w:color w:val="000000"/>
                <w:sz w:val="18"/>
                <w:szCs w:val="18"/>
              </w:rPr>
              <w:t>)</w:t>
            </w:r>
          </w:p>
        </w:tc>
        <w:tc>
          <w:tcPr>
            <w:tcW w:w="290" w:type="dxa"/>
            <w:gridSpan w:val="2"/>
            <w:tcBorders>
              <w:top w:val="nil"/>
              <w:left w:val="nil"/>
              <w:bottom w:val="nil"/>
              <w:right w:val="nil"/>
            </w:tcBorders>
            <w:shd w:val="clear" w:color="auto" w:fill="auto"/>
            <w:noWrap/>
            <w:vAlign w:val="bottom"/>
            <w:hideMark/>
          </w:tcPr>
          <w:p w14:paraId="660F8883" w14:textId="77777777" w:rsidR="00902000" w:rsidRPr="00AD05B4" w:rsidRDefault="00902000" w:rsidP="00052AA4">
            <w:pPr>
              <w:spacing w:line="240" w:lineRule="auto"/>
              <w:contextualSpacing/>
              <w:jc w:val="right"/>
              <w:rPr>
                <w:rFonts w:ascii="Arial" w:hAnsi="Arial" w:cs="Arial"/>
                <w:color w:val="000000"/>
                <w:sz w:val="18"/>
                <w:szCs w:val="18"/>
              </w:rPr>
            </w:pPr>
          </w:p>
        </w:tc>
        <w:tc>
          <w:tcPr>
            <w:tcW w:w="943" w:type="dxa"/>
            <w:gridSpan w:val="2"/>
            <w:tcBorders>
              <w:top w:val="nil"/>
              <w:left w:val="nil"/>
            </w:tcBorders>
            <w:shd w:val="clear" w:color="auto" w:fill="auto"/>
            <w:noWrap/>
            <w:vAlign w:val="bottom"/>
            <w:hideMark/>
          </w:tcPr>
          <w:p w14:paraId="7CF4F4BC" w14:textId="4FA46710" w:rsidR="00902000" w:rsidRPr="00AD05B4" w:rsidRDefault="00902000" w:rsidP="00902000">
            <w:pPr>
              <w:spacing w:line="240" w:lineRule="auto"/>
              <w:contextualSpacing/>
              <w:jc w:val="right"/>
              <w:rPr>
                <w:rFonts w:ascii="Arial" w:eastAsia="PMingLiU" w:hAnsi="Arial" w:cs="Arial"/>
                <w:color w:val="000000"/>
                <w:sz w:val="18"/>
                <w:szCs w:val="18"/>
              </w:rPr>
            </w:pPr>
            <w:r>
              <w:rPr>
                <w:rFonts w:ascii="Arial" w:eastAsia="PMingLiU" w:hAnsi="Arial" w:hint="eastAsia"/>
                <w:color w:val="000000"/>
                <w:sz w:val="18"/>
                <w:szCs w:val="18"/>
              </w:rPr>
              <w:t xml:space="preserve">   10,991</w:t>
            </w:r>
          </w:p>
        </w:tc>
      </w:tr>
      <w:tr w:rsidR="00902000" w:rsidRPr="00AD05B4" w14:paraId="47407D26" w14:textId="77777777" w:rsidTr="00A4414F">
        <w:trPr>
          <w:gridAfter w:val="1"/>
          <w:wAfter w:w="103" w:type="dxa"/>
          <w:trHeight w:val="166"/>
        </w:trPr>
        <w:tc>
          <w:tcPr>
            <w:tcW w:w="4939" w:type="dxa"/>
            <w:tcBorders>
              <w:top w:val="nil"/>
              <w:left w:val="nil"/>
              <w:bottom w:val="nil"/>
              <w:right w:val="nil"/>
            </w:tcBorders>
            <w:shd w:val="clear" w:color="000000" w:fill="FFFFFF"/>
            <w:noWrap/>
            <w:vAlign w:val="bottom"/>
          </w:tcPr>
          <w:p w14:paraId="6463D4E2" w14:textId="51D9F9C1" w:rsidR="00902000" w:rsidRPr="00AD05B4" w:rsidRDefault="00902000" w:rsidP="0058066A">
            <w:pPr>
              <w:spacing w:line="240" w:lineRule="auto"/>
              <w:ind w:firstLineChars="100" w:firstLine="180"/>
              <w:contextualSpacing/>
              <w:rPr>
                <w:rFonts w:ascii="Arial" w:eastAsia="PMingLiU" w:hAnsi="Arial" w:cs="Arial"/>
                <w:sz w:val="18"/>
                <w:szCs w:val="18"/>
              </w:rPr>
            </w:pPr>
            <w:r>
              <w:rPr>
                <w:rFonts w:ascii="Arial" w:eastAsia="PMingLiU" w:hAnsi="Arial" w:hint="eastAsia"/>
                <w:sz w:val="18"/>
                <w:szCs w:val="18"/>
              </w:rPr>
              <w:t>扣除商譽減值</w:t>
            </w:r>
          </w:p>
        </w:tc>
        <w:tc>
          <w:tcPr>
            <w:tcW w:w="237" w:type="dxa"/>
            <w:tcBorders>
              <w:top w:val="nil"/>
              <w:left w:val="nil"/>
              <w:bottom w:val="single" w:sz="4" w:space="0" w:color="auto"/>
              <w:right w:val="nil"/>
            </w:tcBorders>
            <w:shd w:val="clear" w:color="auto" w:fill="auto"/>
            <w:vAlign w:val="bottom"/>
          </w:tcPr>
          <w:p w14:paraId="64EADC28" w14:textId="77777777" w:rsidR="00902000" w:rsidRPr="00AD05B4" w:rsidRDefault="00902000" w:rsidP="0058066A">
            <w:pPr>
              <w:spacing w:line="240" w:lineRule="auto"/>
              <w:ind w:firstLineChars="100" w:firstLine="180"/>
              <w:contextualSpacing/>
              <w:rPr>
                <w:rFonts w:ascii="Arial" w:hAnsi="Arial" w:cs="Arial"/>
                <w:sz w:val="18"/>
                <w:szCs w:val="18"/>
              </w:rPr>
            </w:pPr>
          </w:p>
        </w:tc>
        <w:tc>
          <w:tcPr>
            <w:tcW w:w="942" w:type="dxa"/>
            <w:tcBorders>
              <w:top w:val="nil"/>
              <w:left w:val="nil"/>
              <w:bottom w:val="single" w:sz="4" w:space="0" w:color="auto"/>
              <w:right w:val="nil"/>
            </w:tcBorders>
            <w:shd w:val="clear" w:color="auto" w:fill="auto"/>
            <w:noWrap/>
            <w:vAlign w:val="bottom"/>
          </w:tcPr>
          <w:p w14:paraId="210CE69D" w14:textId="3EC3A984" w:rsidR="00902000" w:rsidRPr="00287F28" w:rsidRDefault="00902000" w:rsidP="00187B44">
            <w:pPr>
              <w:spacing w:line="240" w:lineRule="auto"/>
              <w:contextualSpacing/>
              <w:jc w:val="right"/>
              <w:rPr>
                <w:rFonts w:ascii="Arial" w:eastAsia="PMingLiU" w:hAnsi="Arial" w:cs="Arial"/>
                <w:color w:val="000000"/>
                <w:sz w:val="18"/>
                <w:szCs w:val="18"/>
              </w:rPr>
            </w:pPr>
            <w:r>
              <w:rPr>
                <w:rFonts w:ascii="Arial" w:eastAsia="PMingLiU" w:hAnsi="Arial" w:hint="eastAsia"/>
                <w:color w:val="000000"/>
                <w:sz w:val="18"/>
                <w:szCs w:val="18"/>
              </w:rPr>
              <w:t>-</w:t>
            </w:r>
          </w:p>
        </w:tc>
        <w:tc>
          <w:tcPr>
            <w:tcW w:w="290" w:type="dxa"/>
            <w:tcBorders>
              <w:top w:val="nil"/>
              <w:left w:val="nil"/>
              <w:bottom w:val="nil"/>
              <w:right w:val="nil"/>
            </w:tcBorders>
            <w:shd w:val="clear" w:color="auto" w:fill="auto"/>
            <w:noWrap/>
            <w:vAlign w:val="bottom"/>
          </w:tcPr>
          <w:p w14:paraId="06F7E716" w14:textId="77777777" w:rsidR="00902000" w:rsidRPr="00AD05B4" w:rsidRDefault="00902000" w:rsidP="00040985">
            <w:pPr>
              <w:spacing w:line="240" w:lineRule="auto"/>
              <w:contextualSpacing/>
              <w:jc w:val="right"/>
              <w:rPr>
                <w:rFonts w:ascii="Arial" w:hAnsi="Arial" w:cs="Arial"/>
                <w:color w:val="000000"/>
                <w:sz w:val="18"/>
                <w:szCs w:val="18"/>
              </w:rPr>
            </w:pPr>
          </w:p>
        </w:tc>
        <w:tc>
          <w:tcPr>
            <w:tcW w:w="967" w:type="dxa"/>
            <w:tcBorders>
              <w:top w:val="nil"/>
              <w:left w:val="nil"/>
              <w:bottom w:val="single" w:sz="4" w:space="0" w:color="auto"/>
              <w:right w:val="nil"/>
            </w:tcBorders>
            <w:shd w:val="clear" w:color="auto" w:fill="auto"/>
            <w:noWrap/>
            <w:vAlign w:val="bottom"/>
          </w:tcPr>
          <w:p w14:paraId="6F68E67F" w14:textId="5BB79F86" w:rsidR="00902000" w:rsidRPr="00287F28" w:rsidRDefault="00377371" w:rsidP="00377371">
            <w:pPr>
              <w:spacing w:line="240" w:lineRule="auto"/>
              <w:contextualSpacing/>
              <w:jc w:val="right"/>
              <w:rPr>
                <w:rFonts w:ascii="Arial" w:eastAsia="PMingLiU" w:hAnsi="Arial" w:cs="Arial"/>
                <w:color w:val="000000"/>
                <w:sz w:val="18"/>
                <w:szCs w:val="18"/>
              </w:rPr>
            </w:pPr>
            <w:r>
              <w:rPr>
                <w:rFonts w:ascii="Arial" w:eastAsia="PMingLiU" w:hAnsi="Arial" w:hint="eastAsia"/>
                <w:color w:val="000000"/>
                <w:sz w:val="18"/>
                <w:szCs w:val="18"/>
              </w:rPr>
              <w:t>(</w:t>
            </w:r>
            <w:r w:rsidR="00902000">
              <w:rPr>
                <w:rFonts w:ascii="Arial" w:eastAsia="PMingLiU" w:hAnsi="Arial" w:hint="eastAsia"/>
                <w:color w:val="000000"/>
                <w:sz w:val="18"/>
                <w:szCs w:val="18"/>
              </w:rPr>
              <w:t>12,624</w:t>
            </w:r>
            <w:r>
              <w:rPr>
                <w:rFonts w:ascii="Arial" w:eastAsia="PMingLiU" w:hAnsi="Arial" w:hint="eastAsia"/>
                <w:color w:val="000000"/>
                <w:sz w:val="18"/>
                <w:szCs w:val="18"/>
              </w:rPr>
              <w:t>)</w:t>
            </w:r>
          </w:p>
        </w:tc>
        <w:tc>
          <w:tcPr>
            <w:tcW w:w="365" w:type="dxa"/>
            <w:tcBorders>
              <w:top w:val="nil"/>
              <w:left w:val="nil"/>
              <w:bottom w:val="nil"/>
              <w:right w:val="nil"/>
            </w:tcBorders>
            <w:shd w:val="clear" w:color="auto" w:fill="auto"/>
            <w:noWrap/>
            <w:vAlign w:val="bottom"/>
          </w:tcPr>
          <w:p w14:paraId="265F761F" w14:textId="77777777" w:rsidR="00902000" w:rsidRPr="00AD05B4" w:rsidRDefault="00902000" w:rsidP="00040985">
            <w:pPr>
              <w:spacing w:line="240" w:lineRule="auto"/>
              <w:contextualSpacing/>
              <w:jc w:val="right"/>
              <w:rPr>
                <w:rFonts w:ascii="Arial" w:hAnsi="Arial" w:cs="Arial"/>
                <w:color w:val="000000"/>
                <w:sz w:val="18"/>
                <w:szCs w:val="18"/>
              </w:rPr>
            </w:pPr>
          </w:p>
        </w:tc>
        <w:tc>
          <w:tcPr>
            <w:tcW w:w="281" w:type="dxa"/>
            <w:tcBorders>
              <w:top w:val="nil"/>
              <w:left w:val="nil"/>
              <w:bottom w:val="single" w:sz="4" w:space="0" w:color="auto"/>
              <w:right w:val="nil"/>
            </w:tcBorders>
            <w:shd w:val="clear" w:color="auto" w:fill="auto"/>
            <w:vAlign w:val="bottom"/>
          </w:tcPr>
          <w:p w14:paraId="374350F7" w14:textId="77777777" w:rsidR="00902000" w:rsidRPr="00AD05B4" w:rsidRDefault="00902000" w:rsidP="00040985">
            <w:pPr>
              <w:spacing w:line="240" w:lineRule="auto"/>
              <w:contextualSpacing/>
              <w:jc w:val="right"/>
              <w:rPr>
                <w:sz w:val="20"/>
                <w:szCs w:val="20"/>
              </w:rPr>
            </w:pPr>
          </w:p>
        </w:tc>
        <w:tc>
          <w:tcPr>
            <w:tcW w:w="966" w:type="dxa"/>
            <w:tcBorders>
              <w:top w:val="nil"/>
              <w:left w:val="nil"/>
              <w:bottom w:val="single" w:sz="4" w:space="0" w:color="auto"/>
              <w:right w:val="nil"/>
            </w:tcBorders>
            <w:shd w:val="clear" w:color="auto" w:fill="auto"/>
            <w:noWrap/>
            <w:vAlign w:val="bottom"/>
          </w:tcPr>
          <w:p w14:paraId="2C85D512" w14:textId="03D58BEE" w:rsidR="00902000" w:rsidRPr="00287F28" w:rsidRDefault="00902000" w:rsidP="00052AA4">
            <w:pPr>
              <w:spacing w:line="240" w:lineRule="auto"/>
              <w:contextualSpacing/>
              <w:jc w:val="right"/>
              <w:rPr>
                <w:rFonts w:ascii="Arial" w:eastAsia="PMingLiU" w:hAnsi="Arial" w:cs="Arial"/>
                <w:color w:val="000000"/>
                <w:sz w:val="18"/>
                <w:szCs w:val="18"/>
              </w:rPr>
            </w:pPr>
            <w:r>
              <w:rPr>
                <w:rFonts w:ascii="Arial" w:eastAsia="PMingLiU" w:hAnsi="Arial" w:hint="eastAsia"/>
                <w:color w:val="000000"/>
                <w:sz w:val="18"/>
                <w:szCs w:val="18"/>
              </w:rPr>
              <w:t xml:space="preserve">          -</w:t>
            </w:r>
          </w:p>
        </w:tc>
        <w:tc>
          <w:tcPr>
            <w:tcW w:w="290" w:type="dxa"/>
            <w:gridSpan w:val="2"/>
            <w:tcBorders>
              <w:top w:val="nil"/>
              <w:left w:val="nil"/>
              <w:bottom w:val="nil"/>
              <w:right w:val="nil"/>
            </w:tcBorders>
            <w:shd w:val="clear" w:color="auto" w:fill="auto"/>
            <w:noWrap/>
            <w:vAlign w:val="bottom"/>
          </w:tcPr>
          <w:p w14:paraId="254BD601" w14:textId="77777777" w:rsidR="00902000" w:rsidRPr="00AD05B4" w:rsidRDefault="00902000" w:rsidP="00052AA4">
            <w:pPr>
              <w:spacing w:line="240" w:lineRule="auto"/>
              <w:contextualSpacing/>
              <w:jc w:val="right"/>
              <w:rPr>
                <w:rFonts w:ascii="Arial" w:hAnsi="Arial" w:cs="Arial"/>
                <w:color w:val="000000"/>
                <w:sz w:val="18"/>
                <w:szCs w:val="18"/>
              </w:rPr>
            </w:pPr>
          </w:p>
        </w:tc>
        <w:tc>
          <w:tcPr>
            <w:tcW w:w="943" w:type="dxa"/>
            <w:gridSpan w:val="2"/>
            <w:tcBorders>
              <w:top w:val="nil"/>
              <w:left w:val="nil"/>
              <w:bottom w:val="single" w:sz="4" w:space="0" w:color="auto"/>
            </w:tcBorders>
            <w:shd w:val="clear" w:color="auto" w:fill="auto"/>
            <w:noWrap/>
            <w:vAlign w:val="bottom"/>
          </w:tcPr>
          <w:p w14:paraId="695D9C42" w14:textId="57EB5356" w:rsidR="00902000" w:rsidRDefault="002645B1" w:rsidP="002645B1">
            <w:pPr>
              <w:spacing w:line="240" w:lineRule="auto"/>
              <w:contextualSpacing/>
              <w:jc w:val="right"/>
              <w:rPr>
                <w:rFonts w:ascii="Arial" w:eastAsia="PMingLiU" w:hAnsi="Arial" w:cs="Arial"/>
                <w:color w:val="000000"/>
                <w:sz w:val="18"/>
                <w:szCs w:val="18"/>
              </w:rPr>
            </w:pPr>
            <w:r>
              <w:rPr>
                <w:rFonts w:ascii="Arial" w:eastAsia="PMingLiU" w:hAnsi="Arial" w:hint="eastAsia"/>
                <w:color w:val="000000"/>
                <w:sz w:val="18"/>
                <w:szCs w:val="18"/>
              </w:rPr>
              <w:t>(</w:t>
            </w:r>
            <w:r w:rsidR="00902000">
              <w:rPr>
                <w:rFonts w:ascii="Arial" w:eastAsia="PMingLiU" w:hAnsi="Arial" w:hint="eastAsia"/>
                <w:color w:val="000000"/>
                <w:sz w:val="18"/>
                <w:szCs w:val="18"/>
              </w:rPr>
              <w:t>12,624</w:t>
            </w:r>
            <w:r>
              <w:rPr>
                <w:rFonts w:ascii="Arial" w:eastAsia="PMingLiU" w:hAnsi="Arial" w:hint="eastAsia"/>
                <w:color w:val="000000"/>
                <w:sz w:val="18"/>
                <w:szCs w:val="18"/>
              </w:rPr>
              <w:t>)</w:t>
            </w:r>
          </w:p>
        </w:tc>
      </w:tr>
      <w:tr w:rsidR="00902000" w:rsidRPr="00AD05B4" w14:paraId="45A57DEB" w14:textId="77777777" w:rsidTr="004F51DF">
        <w:trPr>
          <w:gridAfter w:val="1"/>
          <w:wAfter w:w="103" w:type="dxa"/>
          <w:trHeight w:val="166"/>
        </w:trPr>
        <w:tc>
          <w:tcPr>
            <w:tcW w:w="4939" w:type="dxa"/>
            <w:tcBorders>
              <w:top w:val="nil"/>
              <w:left w:val="nil"/>
              <w:bottom w:val="nil"/>
              <w:right w:val="nil"/>
            </w:tcBorders>
            <w:shd w:val="clear" w:color="000000" w:fill="FFFFFF"/>
            <w:noWrap/>
            <w:vAlign w:val="bottom"/>
          </w:tcPr>
          <w:p w14:paraId="3F147BEC" w14:textId="3B927E9D" w:rsidR="00902000" w:rsidRDefault="00902000" w:rsidP="0058066A">
            <w:pPr>
              <w:spacing w:line="240" w:lineRule="auto"/>
              <w:ind w:firstLineChars="100" w:firstLine="180"/>
              <w:contextualSpacing/>
              <w:rPr>
                <w:rFonts w:ascii="Arial" w:eastAsia="PMingLiU" w:hAnsi="Arial" w:cs="Arial"/>
                <w:sz w:val="18"/>
                <w:szCs w:val="18"/>
              </w:rPr>
            </w:pPr>
            <w:r>
              <w:rPr>
                <w:rFonts w:ascii="Arial" w:eastAsia="PMingLiU" w:hAnsi="Arial" w:hint="eastAsia"/>
                <w:sz w:val="18"/>
                <w:szCs w:val="18"/>
              </w:rPr>
              <w:t xml:space="preserve">  </w:t>
            </w:r>
            <w:r>
              <w:rPr>
                <w:rFonts w:ascii="Arial" w:eastAsia="PMingLiU" w:hAnsi="Arial" w:hint="eastAsia"/>
                <w:sz w:val="18"/>
                <w:szCs w:val="18"/>
              </w:rPr>
              <w:t>總調整</w:t>
            </w:r>
          </w:p>
        </w:tc>
        <w:tc>
          <w:tcPr>
            <w:tcW w:w="237" w:type="dxa"/>
            <w:tcBorders>
              <w:top w:val="single" w:sz="4" w:space="0" w:color="auto"/>
              <w:left w:val="nil"/>
              <w:bottom w:val="nil"/>
              <w:right w:val="nil"/>
            </w:tcBorders>
            <w:shd w:val="clear" w:color="auto" w:fill="auto"/>
            <w:vAlign w:val="bottom"/>
          </w:tcPr>
          <w:p w14:paraId="0FE2E8AD" w14:textId="77777777" w:rsidR="00902000" w:rsidRPr="00AD05B4" w:rsidRDefault="00902000" w:rsidP="0058066A">
            <w:pPr>
              <w:spacing w:line="240" w:lineRule="auto"/>
              <w:ind w:firstLineChars="100" w:firstLine="180"/>
              <w:contextualSpacing/>
              <w:rPr>
                <w:rFonts w:ascii="Arial" w:hAnsi="Arial" w:cs="Arial"/>
                <w:sz w:val="18"/>
                <w:szCs w:val="18"/>
              </w:rPr>
            </w:pPr>
          </w:p>
        </w:tc>
        <w:tc>
          <w:tcPr>
            <w:tcW w:w="942" w:type="dxa"/>
            <w:tcBorders>
              <w:top w:val="single" w:sz="4" w:space="0" w:color="auto"/>
              <w:left w:val="nil"/>
              <w:bottom w:val="nil"/>
              <w:right w:val="nil"/>
            </w:tcBorders>
            <w:shd w:val="clear" w:color="auto" w:fill="auto"/>
            <w:noWrap/>
            <w:vAlign w:val="bottom"/>
          </w:tcPr>
          <w:p w14:paraId="0F04E375" w14:textId="4B9D22BD" w:rsidR="00902000" w:rsidRDefault="00902000" w:rsidP="000574ED">
            <w:pPr>
              <w:spacing w:line="240" w:lineRule="auto"/>
              <w:contextualSpacing/>
              <w:jc w:val="right"/>
              <w:rPr>
                <w:rFonts w:ascii="Arial" w:eastAsia="PMingLiU" w:hAnsi="Arial" w:cs="Arial"/>
                <w:color w:val="000000"/>
                <w:sz w:val="18"/>
                <w:szCs w:val="18"/>
              </w:rPr>
            </w:pPr>
            <w:r>
              <w:rPr>
                <w:rFonts w:ascii="Arial" w:eastAsia="PMingLiU" w:hAnsi="Arial" w:hint="eastAsia"/>
                <w:color w:val="000000"/>
                <w:sz w:val="18"/>
                <w:szCs w:val="18"/>
              </w:rPr>
              <w:t>298</w:t>
            </w:r>
          </w:p>
        </w:tc>
        <w:tc>
          <w:tcPr>
            <w:tcW w:w="290" w:type="dxa"/>
            <w:tcBorders>
              <w:top w:val="nil"/>
              <w:left w:val="nil"/>
              <w:bottom w:val="nil"/>
              <w:right w:val="nil"/>
            </w:tcBorders>
            <w:shd w:val="clear" w:color="auto" w:fill="auto"/>
            <w:noWrap/>
            <w:vAlign w:val="bottom"/>
          </w:tcPr>
          <w:p w14:paraId="4996B23B" w14:textId="48E42375" w:rsidR="00902000" w:rsidRPr="00AD05B4" w:rsidRDefault="00902000" w:rsidP="0028523C">
            <w:pPr>
              <w:spacing w:line="240" w:lineRule="auto"/>
              <w:contextualSpacing/>
              <w:rPr>
                <w:rFonts w:ascii="Arial" w:hAnsi="Arial" w:cs="Arial"/>
                <w:color w:val="000000"/>
                <w:sz w:val="18"/>
                <w:szCs w:val="18"/>
              </w:rPr>
            </w:pPr>
          </w:p>
        </w:tc>
        <w:tc>
          <w:tcPr>
            <w:tcW w:w="967" w:type="dxa"/>
            <w:tcBorders>
              <w:top w:val="single" w:sz="4" w:space="0" w:color="auto"/>
              <w:left w:val="nil"/>
              <w:bottom w:val="nil"/>
              <w:right w:val="nil"/>
            </w:tcBorders>
            <w:shd w:val="clear" w:color="auto" w:fill="auto"/>
            <w:noWrap/>
            <w:vAlign w:val="bottom"/>
          </w:tcPr>
          <w:p w14:paraId="35405A26" w14:textId="6B43D0B0" w:rsidR="00902000" w:rsidRDefault="00377371" w:rsidP="00377371">
            <w:pPr>
              <w:spacing w:line="240" w:lineRule="auto"/>
              <w:contextualSpacing/>
              <w:jc w:val="right"/>
              <w:rPr>
                <w:rFonts w:ascii="Arial" w:eastAsia="PMingLiU" w:hAnsi="Arial" w:cs="Arial"/>
                <w:color w:val="000000"/>
                <w:sz w:val="18"/>
                <w:szCs w:val="18"/>
              </w:rPr>
            </w:pPr>
            <w:r>
              <w:rPr>
                <w:rFonts w:ascii="Arial" w:eastAsia="PMingLiU" w:hAnsi="Arial" w:hint="eastAsia"/>
                <w:color w:val="000000"/>
                <w:sz w:val="18"/>
                <w:szCs w:val="18"/>
              </w:rPr>
              <w:t>(</w:t>
            </w:r>
            <w:r w:rsidR="00902000">
              <w:rPr>
                <w:rFonts w:ascii="Arial" w:eastAsia="PMingLiU" w:hAnsi="Arial" w:hint="eastAsia"/>
                <w:color w:val="000000"/>
                <w:sz w:val="18"/>
                <w:szCs w:val="18"/>
              </w:rPr>
              <w:t>8,910</w:t>
            </w:r>
            <w:r>
              <w:rPr>
                <w:rFonts w:ascii="Arial" w:eastAsia="PMingLiU" w:hAnsi="Arial" w:hint="eastAsia"/>
                <w:color w:val="000000"/>
                <w:sz w:val="18"/>
                <w:szCs w:val="18"/>
              </w:rPr>
              <w:t>)</w:t>
            </w:r>
          </w:p>
        </w:tc>
        <w:tc>
          <w:tcPr>
            <w:tcW w:w="365" w:type="dxa"/>
            <w:tcBorders>
              <w:top w:val="nil"/>
              <w:left w:val="nil"/>
              <w:bottom w:val="nil"/>
              <w:right w:val="nil"/>
            </w:tcBorders>
            <w:shd w:val="clear" w:color="auto" w:fill="auto"/>
            <w:noWrap/>
            <w:vAlign w:val="bottom"/>
          </w:tcPr>
          <w:p w14:paraId="00CF400C" w14:textId="77777777" w:rsidR="00902000" w:rsidRPr="00AD05B4" w:rsidRDefault="00902000" w:rsidP="00040985">
            <w:pPr>
              <w:spacing w:line="240" w:lineRule="auto"/>
              <w:contextualSpacing/>
              <w:jc w:val="right"/>
              <w:rPr>
                <w:rFonts w:ascii="Arial" w:hAnsi="Arial" w:cs="Arial"/>
                <w:color w:val="000000"/>
                <w:sz w:val="18"/>
                <w:szCs w:val="18"/>
              </w:rPr>
            </w:pPr>
          </w:p>
        </w:tc>
        <w:tc>
          <w:tcPr>
            <w:tcW w:w="281" w:type="dxa"/>
            <w:tcBorders>
              <w:top w:val="single" w:sz="4" w:space="0" w:color="auto"/>
              <w:left w:val="nil"/>
              <w:bottom w:val="nil"/>
              <w:right w:val="nil"/>
            </w:tcBorders>
            <w:shd w:val="clear" w:color="auto" w:fill="auto"/>
            <w:vAlign w:val="bottom"/>
          </w:tcPr>
          <w:p w14:paraId="29D8B07A" w14:textId="77777777" w:rsidR="00902000" w:rsidRPr="00AD05B4" w:rsidRDefault="00902000" w:rsidP="00040985">
            <w:pPr>
              <w:spacing w:line="240" w:lineRule="auto"/>
              <w:contextualSpacing/>
              <w:jc w:val="right"/>
              <w:rPr>
                <w:sz w:val="20"/>
                <w:szCs w:val="20"/>
              </w:rPr>
            </w:pPr>
          </w:p>
        </w:tc>
        <w:tc>
          <w:tcPr>
            <w:tcW w:w="966" w:type="dxa"/>
            <w:tcBorders>
              <w:top w:val="single" w:sz="4" w:space="0" w:color="auto"/>
              <w:left w:val="nil"/>
              <w:bottom w:val="nil"/>
              <w:right w:val="nil"/>
            </w:tcBorders>
            <w:shd w:val="clear" w:color="auto" w:fill="auto"/>
            <w:noWrap/>
            <w:vAlign w:val="bottom"/>
          </w:tcPr>
          <w:p w14:paraId="78F700ED" w14:textId="39BE6C76" w:rsidR="00902000" w:rsidRDefault="00377371" w:rsidP="00377371">
            <w:pPr>
              <w:spacing w:line="240" w:lineRule="auto"/>
              <w:contextualSpacing/>
              <w:jc w:val="right"/>
              <w:rPr>
                <w:rFonts w:ascii="Arial" w:eastAsia="PMingLiU" w:hAnsi="Arial" w:cs="Arial"/>
                <w:color w:val="000000"/>
                <w:sz w:val="18"/>
                <w:szCs w:val="18"/>
              </w:rPr>
            </w:pPr>
            <w:r>
              <w:rPr>
                <w:rFonts w:ascii="Arial" w:eastAsia="PMingLiU" w:hAnsi="Arial" w:hint="eastAsia"/>
                <w:color w:val="000000"/>
                <w:sz w:val="18"/>
                <w:szCs w:val="18"/>
              </w:rPr>
              <w:t>(</w:t>
            </w:r>
            <w:r w:rsidR="00902000">
              <w:rPr>
                <w:rFonts w:ascii="Arial" w:eastAsia="PMingLiU" w:hAnsi="Arial" w:hint="eastAsia"/>
                <w:color w:val="000000"/>
                <w:sz w:val="18"/>
                <w:szCs w:val="18"/>
              </w:rPr>
              <w:t>10,291</w:t>
            </w:r>
            <w:r>
              <w:rPr>
                <w:rFonts w:ascii="Arial" w:eastAsia="PMingLiU" w:hAnsi="Arial" w:hint="eastAsia"/>
                <w:color w:val="000000"/>
                <w:sz w:val="18"/>
                <w:szCs w:val="18"/>
              </w:rPr>
              <w:t>)</w:t>
            </w:r>
          </w:p>
        </w:tc>
        <w:tc>
          <w:tcPr>
            <w:tcW w:w="290" w:type="dxa"/>
            <w:gridSpan w:val="2"/>
            <w:tcBorders>
              <w:top w:val="nil"/>
              <w:left w:val="nil"/>
              <w:bottom w:val="nil"/>
              <w:right w:val="nil"/>
            </w:tcBorders>
            <w:shd w:val="clear" w:color="auto" w:fill="auto"/>
            <w:noWrap/>
            <w:vAlign w:val="bottom"/>
          </w:tcPr>
          <w:p w14:paraId="36EB69D0" w14:textId="77777777" w:rsidR="00902000" w:rsidRPr="00AD05B4" w:rsidRDefault="00902000" w:rsidP="00052AA4">
            <w:pPr>
              <w:spacing w:line="240" w:lineRule="auto"/>
              <w:contextualSpacing/>
              <w:jc w:val="right"/>
              <w:rPr>
                <w:rFonts w:ascii="Arial" w:hAnsi="Arial" w:cs="Arial"/>
                <w:color w:val="000000"/>
                <w:sz w:val="18"/>
                <w:szCs w:val="18"/>
              </w:rPr>
            </w:pPr>
          </w:p>
        </w:tc>
        <w:tc>
          <w:tcPr>
            <w:tcW w:w="943" w:type="dxa"/>
            <w:gridSpan w:val="2"/>
            <w:tcBorders>
              <w:top w:val="single" w:sz="4" w:space="0" w:color="auto"/>
              <w:left w:val="nil"/>
              <w:bottom w:val="nil"/>
            </w:tcBorders>
            <w:shd w:val="clear" w:color="auto" w:fill="auto"/>
            <w:noWrap/>
            <w:vAlign w:val="bottom"/>
          </w:tcPr>
          <w:p w14:paraId="00472D67" w14:textId="796CA07B" w:rsidR="00902000" w:rsidRDefault="00377371" w:rsidP="00377371">
            <w:pPr>
              <w:spacing w:line="240" w:lineRule="auto"/>
              <w:contextualSpacing/>
              <w:jc w:val="right"/>
              <w:rPr>
                <w:rFonts w:ascii="Arial" w:eastAsia="PMingLiU" w:hAnsi="Arial" w:cs="Arial"/>
                <w:color w:val="000000"/>
                <w:sz w:val="18"/>
                <w:szCs w:val="18"/>
              </w:rPr>
            </w:pPr>
            <w:r>
              <w:rPr>
                <w:rFonts w:ascii="Arial" w:eastAsia="PMingLiU" w:hAnsi="Arial" w:hint="eastAsia"/>
                <w:color w:val="000000"/>
                <w:sz w:val="18"/>
                <w:szCs w:val="18"/>
              </w:rPr>
              <w:t>(</w:t>
            </w:r>
            <w:r w:rsidR="00902000">
              <w:rPr>
                <w:rFonts w:ascii="Arial" w:eastAsia="PMingLiU" w:hAnsi="Arial" w:hint="eastAsia"/>
                <w:color w:val="000000"/>
                <w:sz w:val="18"/>
                <w:szCs w:val="18"/>
              </w:rPr>
              <w:t>1,633</w:t>
            </w:r>
            <w:r>
              <w:rPr>
                <w:rFonts w:ascii="Arial" w:eastAsia="PMingLiU" w:hAnsi="Arial" w:hint="eastAsia"/>
                <w:color w:val="000000"/>
                <w:sz w:val="18"/>
                <w:szCs w:val="18"/>
              </w:rPr>
              <w:t>)</w:t>
            </w:r>
          </w:p>
        </w:tc>
      </w:tr>
      <w:tr w:rsidR="002A0983" w:rsidRPr="00AD05B4" w14:paraId="15CF0B05" w14:textId="77777777" w:rsidTr="0028523C">
        <w:trPr>
          <w:gridAfter w:val="1"/>
          <w:wAfter w:w="103" w:type="dxa"/>
          <w:trHeight w:val="335"/>
        </w:trPr>
        <w:tc>
          <w:tcPr>
            <w:tcW w:w="4939" w:type="dxa"/>
            <w:tcBorders>
              <w:top w:val="nil"/>
              <w:left w:val="nil"/>
              <w:bottom w:val="nil"/>
              <w:right w:val="nil"/>
            </w:tcBorders>
            <w:shd w:val="clear" w:color="000000" w:fill="FFFFFF"/>
            <w:vAlign w:val="bottom"/>
            <w:hideMark/>
          </w:tcPr>
          <w:p w14:paraId="149EE110" w14:textId="5C078905" w:rsidR="002A0983" w:rsidRDefault="000574ED" w:rsidP="0028523C">
            <w:pPr>
              <w:spacing w:line="240" w:lineRule="auto"/>
              <w:contextualSpacing/>
              <w:rPr>
                <w:rFonts w:ascii="Arial" w:eastAsia="PMingLiU" w:hAnsi="Arial" w:cs="Arial"/>
                <w:b/>
                <w:bCs/>
                <w:sz w:val="18"/>
                <w:szCs w:val="18"/>
              </w:rPr>
            </w:pPr>
            <w:r>
              <w:rPr>
                <w:rFonts w:ascii="Arial" w:eastAsia="PMingLiU" w:hAnsi="Arial" w:hint="eastAsia"/>
                <w:b/>
                <w:bCs/>
                <w:sz w:val="18"/>
                <w:szCs w:val="18"/>
              </w:rPr>
              <w:t xml:space="preserve">      </w:t>
            </w:r>
            <w:r>
              <w:rPr>
                <w:rFonts w:ascii="Arial" w:eastAsia="PMingLiU" w:hAnsi="Arial" w:hint="eastAsia"/>
                <w:b/>
                <w:bCs/>
                <w:sz w:val="18"/>
                <w:szCs w:val="18"/>
              </w:rPr>
              <w:t>聯邦所得稅前的</w:t>
            </w:r>
          </w:p>
          <w:p w14:paraId="2E2CDB76" w14:textId="77777777" w:rsidR="002A0983" w:rsidRPr="00AD05B4" w:rsidRDefault="002A0983" w:rsidP="0058066A">
            <w:pPr>
              <w:spacing w:line="240" w:lineRule="auto"/>
              <w:ind w:firstLineChars="300" w:firstLine="541"/>
              <w:contextualSpacing/>
              <w:rPr>
                <w:rFonts w:ascii="Arial" w:eastAsia="PMingLiU" w:hAnsi="Arial" w:cs="Arial"/>
                <w:b/>
                <w:bCs/>
                <w:sz w:val="18"/>
                <w:szCs w:val="18"/>
              </w:rPr>
            </w:pPr>
            <w:r>
              <w:rPr>
                <w:rFonts w:ascii="Arial" w:eastAsia="PMingLiU" w:hAnsi="Arial" w:hint="eastAsia"/>
                <w:b/>
                <w:bCs/>
                <w:sz w:val="18"/>
                <w:szCs w:val="18"/>
              </w:rPr>
              <w:t>調整後收入（虧損）</w:t>
            </w:r>
          </w:p>
        </w:tc>
        <w:tc>
          <w:tcPr>
            <w:tcW w:w="237" w:type="dxa"/>
            <w:tcBorders>
              <w:top w:val="single" w:sz="4" w:space="0" w:color="auto"/>
              <w:left w:val="nil"/>
              <w:bottom w:val="double" w:sz="6" w:space="0" w:color="auto"/>
              <w:right w:val="nil"/>
            </w:tcBorders>
            <w:shd w:val="clear" w:color="auto" w:fill="auto"/>
            <w:noWrap/>
            <w:vAlign w:val="bottom"/>
            <w:hideMark/>
          </w:tcPr>
          <w:p w14:paraId="09EBFDA3" w14:textId="77777777" w:rsidR="002A0983" w:rsidRPr="00AD05B4" w:rsidRDefault="002A0983" w:rsidP="0058066A">
            <w:pPr>
              <w:spacing w:line="240" w:lineRule="auto"/>
              <w:contextualSpacing/>
              <w:jc w:val="center"/>
              <w:rPr>
                <w:rFonts w:ascii="Arial" w:eastAsia="PMingLiU" w:hAnsi="Arial" w:cs="Arial"/>
                <w:b/>
                <w:bCs/>
                <w:sz w:val="18"/>
                <w:szCs w:val="18"/>
              </w:rPr>
            </w:pPr>
            <w:r>
              <w:rPr>
                <w:rFonts w:ascii="Arial" w:eastAsia="PMingLiU" w:hAnsi="Arial" w:hint="eastAsia"/>
                <w:b/>
                <w:bCs/>
                <w:sz w:val="18"/>
                <w:szCs w:val="18"/>
              </w:rPr>
              <w:t xml:space="preserve"> $ </w:t>
            </w:r>
          </w:p>
        </w:tc>
        <w:tc>
          <w:tcPr>
            <w:tcW w:w="942" w:type="dxa"/>
            <w:tcBorders>
              <w:top w:val="single" w:sz="4" w:space="0" w:color="auto"/>
              <w:left w:val="nil"/>
              <w:bottom w:val="double" w:sz="6" w:space="0" w:color="auto"/>
              <w:right w:val="nil"/>
            </w:tcBorders>
            <w:shd w:val="clear" w:color="auto" w:fill="auto"/>
            <w:noWrap/>
            <w:vAlign w:val="bottom"/>
            <w:hideMark/>
          </w:tcPr>
          <w:p w14:paraId="3D6DF96E" w14:textId="3ADD7F41" w:rsidR="002A0983" w:rsidRPr="00AD05B4" w:rsidRDefault="00DB1B7D" w:rsidP="00040985">
            <w:pPr>
              <w:spacing w:line="240" w:lineRule="auto"/>
              <w:contextualSpacing/>
              <w:jc w:val="right"/>
              <w:rPr>
                <w:rFonts w:ascii="Arial" w:eastAsia="PMingLiU" w:hAnsi="Arial" w:cs="Arial"/>
                <w:b/>
                <w:bCs/>
                <w:color w:val="000000"/>
                <w:sz w:val="18"/>
                <w:szCs w:val="18"/>
              </w:rPr>
            </w:pPr>
            <w:r>
              <w:rPr>
                <w:rFonts w:ascii="Arial" w:eastAsia="PMingLiU" w:hAnsi="Arial" w:hint="eastAsia"/>
                <w:b/>
                <w:bCs/>
                <w:color w:val="000000"/>
                <w:sz w:val="18"/>
                <w:szCs w:val="18"/>
              </w:rPr>
              <w:t>2,025</w:t>
            </w:r>
          </w:p>
        </w:tc>
        <w:tc>
          <w:tcPr>
            <w:tcW w:w="290" w:type="dxa"/>
            <w:tcBorders>
              <w:top w:val="nil"/>
              <w:left w:val="nil"/>
              <w:bottom w:val="nil"/>
              <w:right w:val="nil"/>
            </w:tcBorders>
            <w:shd w:val="clear" w:color="auto" w:fill="auto"/>
            <w:noWrap/>
            <w:vAlign w:val="bottom"/>
            <w:hideMark/>
          </w:tcPr>
          <w:p w14:paraId="3F06D909" w14:textId="77777777" w:rsidR="002A0983" w:rsidRPr="00AD05B4" w:rsidRDefault="002A0983" w:rsidP="00040985">
            <w:pPr>
              <w:spacing w:line="240" w:lineRule="auto"/>
              <w:contextualSpacing/>
              <w:jc w:val="right"/>
              <w:rPr>
                <w:rFonts w:ascii="Arial" w:hAnsi="Arial" w:cs="Arial"/>
                <w:b/>
                <w:bCs/>
                <w:color w:val="000000"/>
                <w:sz w:val="18"/>
                <w:szCs w:val="18"/>
              </w:rPr>
            </w:pPr>
          </w:p>
        </w:tc>
        <w:tc>
          <w:tcPr>
            <w:tcW w:w="967" w:type="dxa"/>
            <w:tcBorders>
              <w:top w:val="single" w:sz="4" w:space="0" w:color="auto"/>
              <w:left w:val="nil"/>
              <w:bottom w:val="double" w:sz="6" w:space="0" w:color="auto"/>
              <w:right w:val="nil"/>
            </w:tcBorders>
            <w:shd w:val="clear" w:color="auto" w:fill="auto"/>
            <w:noWrap/>
            <w:vAlign w:val="bottom"/>
            <w:hideMark/>
          </w:tcPr>
          <w:p w14:paraId="04C11394" w14:textId="4C74454B" w:rsidR="002A0983" w:rsidRPr="00AD05B4" w:rsidRDefault="00DB1B7D" w:rsidP="00902000">
            <w:pPr>
              <w:spacing w:line="240" w:lineRule="auto"/>
              <w:contextualSpacing/>
              <w:jc w:val="right"/>
              <w:rPr>
                <w:rFonts w:ascii="Arial" w:eastAsia="PMingLiU" w:hAnsi="Arial" w:cs="Arial"/>
                <w:b/>
                <w:bCs/>
                <w:color w:val="000000"/>
                <w:sz w:val="18"/>
                <w:szCs w:val="18"/>
              </w:rPr>
            </w:pPr>
            <w:r>
              <w:rPr>
                <w:rFonts w:ascii="Arial" w:eastAsia="PMingLiU" w:hAnsi="Arial" w:hint="eastAsia"/>
                <w:b/>
                <w:bCs/>
                <w:color w:val="000000"/>
                <w:sz w:val="18"/>
                <w:szCs w:val="18"/>
              </w:rPr>
              <w:t>2,097</w:t>
            </w:r>
          </w:p>
        </w:tc>
        <w:tc>
          <w:tcPr>
            <w:tcW w:w="365" w:type="dxa"/>
            <w:tcBorders>
              <w:top w:val="nil"/>
              <w:left w:val="nil"/>
              <w:bottom w:val="nil"/>
              <w:right w:val="nil"/>
            </w:tcBorders>
            <w:shd w:val="clear" w:color="auto" w:fill="auto"/>
            <w:noWrap/>
            <w:vAlign w:val="bottom"/>
            <w:hideMark/>
          </w:tcPr>
          <w:p w14:paraId="7E18B80E" w14:textId="77777777" w:rsidR="002A0983" w:rsidRPr="00AD05B4" w:rsidRDefault="002A0983" w:rsidP="00040985">
            <w:pPr>
              <w:spacing w:line="240" w:lineRule="auto"/>
              <w:contextualSpacing/>
              <w:jc w:val="right"/>
              <w:rPr>
                <w:rFonts w:ascii="Arial" w:hAnsi="Arial" w:cs="Arial"/>
                <w:b/>
                <w:bCs/>
                <w:color w:val="000000"/>
                <w:sz w:val="18"/>
                <w:szCs w:val="18"/>
              </w:rPr>
            </w:pPr>
          </w:p>
        </w:tc>
        <w:tc>
          <w:tcPr>
            <w:tcW w:w="281" w:type="dxa"/>
            <w:tcBorders>
              <w:top w:val="single" w:sz="4" w:space="0" w:color="auto"/>
              <w:left w:val="nil"/>
              <w:bottom w:val="double" w:sz="6" w:space="0" w:color="auto"/>
              <w:right w:val="nil"/>
            </w:tcBorders>
            <w:shd w:val="clear" w:color="auto" w:fill="auto"/>
            <w:noWrap/>
            <w:vAlign w:val="bottom"/>
            <w:hideMark/>
          </w:tcPr>
          <w:p w14:paraId="1559E022" w14:textId="77777777" w:rsidR="002A0983" w:rsidRPr="00AD05B4" w:rsidRDefault="002A0983" w:rsidP="00187B44">
            <w:pPr>
              <w:spacing w:line="240" w:lineRule="auto"/>
              <w:contextualSpacing/>
              <w:jc w:val="right"/>
              <w:rPr>
                <w:rFonts w:ascii="Arial" w:eastAsia="PMingLiU" w:hAnsi="Arial" w:cs="Arial"/>
                <w:b/>
                <w:bCs/>
                <w:sz w:val="18"/>
                <w:szCs w:val="18"/>
              </w:rPr>
            </w:pPr>
            <w:r>
              <w:rPr>
                <w:rFonts w:ascii="Arial" w:eastAsia="PMingLiU" w:hAnsi="Arial" w:hint="eastAsia"/>
                <w:b/>
                <w:bCs/>
                <w:sz w:val="18"/>
                <w:szCs w:val="18"/>
              </w:rPr>
              <w:t xml:space="preserve"> $ </w:t>
            </w:r>
          </w:p>
        </w:tc>
        <w:tc>
          <w:tcPr>
            <w:tcW w:w="966" w:type="dxa"/>
            <w:tcBorders>
              <w:top w:val="single" w:sz="4" w:space="0" w:color="auto"/>
              <w:left w:val="nil"/>
              <w:bottom w:val="double" w:sz="6" w:space="0" w:color="auto"/>
              <w:right w:val="nil"/>
            </w:tcBorders>
            <w:shd w:val="clear" w:color="auto" w:fill="auto"/>
            <w:noWrap/>
            <w:vAlign w:val="bottom"/>
            <w:hideMark/>
          </w:tcPr>
          <w:p w14:paraId="33F83352" w14:textId="2EB96011" w:rsidR="002A0983" w:rsidRPr="00AD05B4" w:rsidRDefault="006E03E7" w:rsidP="00052AA4">
            <w:pPr>
              <w:spacing w:line="240" w:lineRule="auto"/>
              <w:contextualSpacing/>
              <w:jc w:val="right"/>
              <w:rPr>
                <w:rFonts w:ascii="Arial" w:eastAsia="PMingLiU" w:hAnsi="Arial" w:cs="Arial"/>
                <w:b/>
                <w:bCs/>
                <w:color w:val="000000"/>
                <w:sz w:val="18"/>
                <w:szCs w:val="18"/>
              </w:rPr>
            </w:pPr>
            <w:r>
              <w:rPr>
                <w:rFonts w:ascii="Arial" w:eastAsia="PMingLiU" w:hAnsi="Arial" w:hint="eastAsia"/>
                <w:b/>
                <w:bCs/>
                <w:color w:val="000000"/>
                <w:sz w:val="18"/>
                <w:szCs w:val="18"/>
              </w:rPr>
              <w:t>3,224</w:t>
            </w:r>
          </w:p>
        </w:tc>
        <w:tc>
          <w:tcPr>
            <w:tcW w:w="290" w:type="dxa"/>
            <w:gridSpan w:val="2"/>
            <w:tcBorders>
              <w:top w:val="nil"/>
              <w:left w:val="nil"/>
              <w:bottom w:val="nil"/>
              <w:right w:val="nil"/>
            </w:tcBorders>
            <w:shd w:val="clear" w:color="auto" w:fill="auto"/>
            <w:noWrap/>
            <w:vAlign w:val="bottom"/>
            <w:hideMark/>
          </w:tcPr>
          <w:p w14:paraId="53D5A8C1" w14:textId="77777777" w:rsidR="002A0983" w:rsidRPr="00AD05B4" w:rsidRDefault="002A0983" w:rsidP="00052AA4">
            <w:pPr>
              <w:spacing w:line="240" w:lineRule="auto"/>
              <w:contextualSpacing/>
              <w:jc w:val="right"/>
              <w:rPr>
                <w:rFonts w:ascii="Arial" w:hAnsi="Arial" w:cs="Arial"/>
                <w:b/>
                <w:bCs/>
                <w:color w:val="000000"/>
                <w:sz w:val="18"/>
                <w:szCs w:val="18"/>
              </w:rPr>
            </w:pPr>
          </w:p>
        </w:tc>
        <w:tc>
          <w:tcPr>
            <w:tcW w:w="943" w:type="dxa"/>
            <w:gridSpan w:val="2"/>
            <w:tcBorders>
              <w:top w:val="single" w:sz="4" w:space="0" w:color="auto"/>
              <w:left w:val="nil"/>
              <w:bottom w:val="double" w:sz="6" w:space="0" w:color="auto"/>
              <w:right w:val="nil"/>
            </w:tcBorders>
            <w:shd w:val="clear" w:color="auto" w:fill="auto"/>
            <w:noWrap/>
            <w:vAlign w:val="bottom"/>
            <w:hideMark/>
          </w:tcPr>
          <w:p w14:paraId="46B7D765" w14:textId="61C86667" w:rsidR="002A0983" w:rsidRPr="00AD05B4" w:rsidRDefault="00377371" w:rsidP="00377371">
            <w:pPr>
              <w:spacing w:line="240" w:lineRule="auto"/>
              <w:contextualSpacing/>
              <w:jc w:val="right"/>
              <w:rPr>
                <w:rFonts w:ascii="Arial" w:eastAsia="PMingLiU" w:hAnsi="Arial" w:cs="Arial"/>
                <w:b/>
                <w:bCs/>
                <w:color w:val="000000"/>
                <w:sz w:val="18"/>
                <w:szCs w:val="18"/>
              </w:rPr>
            </w:pPr>
            <w:r>
              <w:rPr>
                <w:rFonts w:ascii="Arial" w:eastAsia="PMingLiU" w:hAnsi="Arial" w:hint="eastAsia"/>
                <w:b/>
                <w:bCs/>
                <w:color w:val="000000"/>
                <w:sz w:val="18"/>
                <w:szCs w:val="18"/>
              </w:rPr>
              <w:t>(</w:t>
            </w:r>
            <w:r w:rsidR="00DB1B7D">
              <w:rPr>
                <w:rFonts w:ascii="Arial" w:eastAsia="PMingLiU" w:hAnsi="Arial" w:hint="eastAsia"/>
                <w:b/>
                <w:bCs/>
                <w:color w:val="000000"/>
                <w:sz w:val="18"/>
                <w:szCs w:val="18"/>
              </w:rPr>
              <w:t>5,055</w:t>
            </w:r>
            <w:r>
              <w:rPr>
                <w:rFonts w:ascii="Arial" w:eastAsia="PMingLiU" w:hAnsi="Arial" w:hint="eastAsia"/>
                <w:b/>
                <w:bCs/>
                <w:color w:val="000000"/>
                <w:sz w:val="18"/>
                <w:szCs w:val="18"/>
              </w:rPr>
              <w:t>)</w:t>
            </w:r>
          </w:p>
        </w:tc>
      </w:tr>
    </w:tbl>
    <w:p w14:paraId="6BC27F2D" w14:textId="3C6BCAD4" w:rsidR="00950640" w:rsidRDefault="00950640" w:rsidP="00152C08">
      <w:pPr>
        <w:pStyle w:val="NoSpacing"/>
        <w:jc w:val="center"/>
        <w:rPr>
          <w:b/>
          <w:bCs/>
        </w:rPr>
      </w:pPr>
    </w:p>
    <w:p w14:paraId="72D08E6A" w14:textId="77777777" w:rsidR="00152C08" w:rsidRDefault="00152C08" w:rsidP="00C82647">
      <w:pPr>
        <w:pStyle w:val="NoSpacing"/>
        <w:rPr>
          <w:b/>
          <w:bCs/>
        </w:rPr>
      </w:pPr>
    </w:p>
    <w:p w14:paraId="15FF627E" w14:textId="336D9C32" w:rsidR="0004028D" w:rsidRDefault="006F28E9" w:rsidP="00152C08">
      <w:pPr>
        <w:pStyle w:val="NoSpacing"/>
        <w:jc w:val="center"/>
        <w:rPr>
          <w:b/>
          <w:bCs/>
        </w:rPr>
      </w:pPr>
      <w:r>
        <w:rPr>
          <w:rFonts w:hint="eastAsia"/>
          <w:b/>
          <w:bCs/>
        </w:rPr>
        <w:t>股東權益與</w:t>
      </w:r>
      <w:r>
        <w:rPr>
          <w:rFonts w:hint="eastAsia"/>
          <w:b/>
          <w:bCs/>
        </w:rPr>
        <w:t xml:space="preserve"> A </w:t>
      </w:r>
      <w:r>
        <w:rPr>
          <w:rFonts w:hint="eastAsia"/>
          <w:b/>
          <w:bCs/>
        </w:rPr>
        <w:t>類普通股每股賬面價值的對賬</w:t>
      </w:r>
    </w:p>
    <w:p w14:paraId="68EE8954" w14:textId="77777777" w:rsidR="00152C08" w:rsidRDefault="00152C08" w:rsidP="00152C08">
      <w:pPr>
        <w:pStyle w:val="NoSpacing"/>
        <w:jc w:val="center"/>
        <w:rPr>
          <w:b/>
          <w:bCs/>
        </w:rPr>
      </w:pPr>
    </w:p>
    <w:tbl>
      <w:tblPr>
        <w:tblW w:w="7020" w:type="dxa"/>
        <w:tblLook w:val="04A0" w:firstRow="1" w:lastRow="0" w:firstColumn="1" w:lastColumn="0" w:noHBand="0" w:noVBand="1"/>
      </w:tblPr>
      <w:tblGrid>
        <w:gridCol w:w="4537"/>
        <w:gridCol w:w="317"/>
        <w:gridCol w:w="987"/>
        <w:gridCol w:w="236"/>
        <w:gridCol w:w="714"/>
        <w:gridCol w:w="229"/>
      </w:tblGrid>
      <w:tr w:rsidR="00902000" w14:paraId="307C5BCB" w14:textId="77777777" w:rsidTr="00590542">
        <w:trPr>
          <w:gridAfter w:val="1"/>
          <w:wAfter w:w="229" w:type="dxa"/>
          <w:trHeight w:val="255"/>
        </w:trPr>
        <w:tc>
          <w:tcPr>
            <w:tcW w:w="4537" w:type="dxa"/>
            <w:tcBorders>
              <w:top w:val="nil"/>
              <w:left w:val="nil"/>
              <w:bottom w:val="nil"/>
              <w:right w:val="nil"/>
            </w:tcBorders>
            <w:shd w:val="clear" w:color="auto" w:fill="auto"/>
            <w:noWrap/>
            <w:vAlign w:val="bottom"/>
          </w:tcPr>
          <w:p w14:paraId="0AE001BA" w14:textId="7A6FCE4A" w:rsidR="00902000" w:rsidRDefault="00902000" w:rsidP="0058066A">
            <w:pPr>
              <w:spacing w:line="240" w:lineRule="auto"/>
              <w:contextualSpacing/>
              <w:rPr>
                <w:rFonts w:ascii="Arial" w:eastAsia="PMingLiU" w:hAnsi="Arial" w:cs="Arial"/>
                <w:b/>
                <w:bCs/>
                <w:color w:val="000000"/>
                <w:sz w:val="18"/>
                <w:szCs w:val="18"/>
              </w:rPr>
            </w:pPr>
            <w:r>
              <w:rPr>
                <w:rFonts w:ascii="Arial" w:eastAsia="PMingLiU" w:hAnsi="Arial" w:hint="eastAsia"/>
                <w:b/>
                <w:bCs/>
                <w:color w:val="000000"/>
                <w:sz w:val="18"/>
                <w:szCs w:val="18"/>
              </w:rPr>
              <w:t>截至</w:t>
            </w:r>
            <w:r w:rsidR="004803F0">
              <w:rPr>
                <w:rFonts w:ascii="Arial" w:eastAsia="PMingLiU" w:hAnsi="Arial" w:hint="eastAsia"/>
                <w:b/>
                <w:bCs/>
                <w:color w:val="000000"/>
                <w:sz w:val="18"/>
                <w:szCs w:val="18"/>
              </w:rPr>
              <w:t>日期</w:t>
            </w:r>
          </w:p>
        </w:tc>
        <w:tc>
          <w:tcPr>
            <w:tcW w:w="2254" w:type="dxa"/>
            <w:gridSpan w:val="4"/>
            <w:tcBorders>
              <w:top w:val="nil"/>
              <w:left w:val="nil"/>
              <w:bottom w:val="nil"/>
            </w:tcBorders>
            <w:shd w:val="clear" w:color="auto" w:fill="auto"/>
            <w:vAlign w:val="bottom"/>
            <w:hideMark/>
          </w:tcPr>
          <w:p w14:paraId="4EAF043D" w14:textId="77BA4F7C" w:rsidR="00902000" w:rsidRDefault="00902000" w:rsidP="00902000">
            <w:pPr>
              <w:spacing w:line="240" w:lineRule="auto"/>
              <w:contextualSpacing/>
              <w:jc w:val="center"/>
              <w:rPr>
                <w:rFonts w:ascii="Arial" w:eastAsia="PMingLiU" w:hAnsi="Arial" w:cs="Arial"/>
                <w:b/>
                <w:bCs/>
                <w:color w:val="000000"/>
                <w:sz w:val="18"/>
                <w:szCs w:val="18"/>
              </w:rPr>
            </w:pPr>
            <w:r>
              <w:rPr>
                <w:rFonts w:ascii="Arial" w:eastAsia="PMingLiU" w:hAnsi="Arial" w:hint="eastAsia"/>
                <w:b/>
                <w:bCs/>
                <w:color w:val="000000"/>
                <w:sz w:val="18"/>
                <w:szCs w:val="18"/>
              </w:rPr>
              <w:t>年</w:t>
            </w:r>
            <w:r w:rsidR="001A3536">
              <w:rPr>
                <w:rFonts w:ascii="Arial" w:eastAsia="PMingLiU" w:hAnsi="Arial" w:hint="eastAsia"/>
                <w:b/>
                <w:bCs/>
                <w:color w:val="000000"/>
                <w:sz w:val="18"/>
                <w:szCs w:val="18"/>
              </w:rPr>
              <w:t>終</w:t>
            </w:r>
          </w:p>
          <w:p w14:paraId="2B427B2E" w14:textId="2C51E1AC" w:rsidR="00902000" w:rsidRDefault="00902000" w:rsidP="00902000">
            <w:pPr>
              <w:spacing w:line="240" w:lineRule="auto"/>
              <w:contextualSpacing/>
              <w:jc w:val="center"/>
              <w:rPr>
                <w:rFonts w:ascii="Arial" w:eastAsia="PMingLiU" w:hAnsi="Arial" w:cs="Arial"/>
                <w:b/>
                <w:bCs/>
                <w:color w:val="000000"/>
                <w:sz w:val="18"/>
                <w:szCs w:val="18"/>
              </w:rPr>
            </w:pPr>
            <w:r>
              <w:rPr>
                <w:rFonts w:ascii="Arial" w:eastAsia="PMingLiU" w:hAnsi="Arial" w:hint="eastAsia"/>
                <w:b/>
                <w:bCs/>
                <w:color w:val="000000"/>
                <w:sz w:val="18"/>
                <w:szCs w:val="18"/>
              </w:rPr>
              <w:t xml:space="preserve">12 </w:t>
            </w:r>
            <w:r>
              <w:rPr>
                <w:rFonts w:ascii="Arial" w:eastAsia="PMingLiU" w:hAnsi="Arial" w:hint="eastAsia"/>
                <w:b/>
                <w:bCs/>
                <w:color w:val="000000"/>
                <w:sz w:val="18"/>
                <w:szCs w:val="18"/>
              </w:rPr>
              <w:t>月</w:t>
            </w:r>
            <w:r>
              <w:rPr>
                <w:rFonts w:ascii="Arial" w:eastAsia="PMingLiU" w:hAnsi="Arial" w:hint="eastAsia"/>
                <w:b/>
                <w:bCs/>
                <w:color w:val="000000"/>
                <w:sz w:val="18"/>
                <w:szCs w:val="18"/>
              </w:rPr>
              <w:t xml:space="preserve"> 31 </w:t>
            </w:r>
            <w:r>
              <w:rPr>
                <w:rFonts w:ascii="Arial" w:eastAsia="PMingLiU" w:hAnsi="Arial" w:hint="eastAsia"/>
                <w:b/>
                <w:bCs/>
                <w:color w:val="000000"/>
                <w:sz w:val="18"/>
                <w:szCs w:val="18"/>
              </w:rPr>
              <w:t>日</w:t>
            </w:r>
          </w:p>
        </w:tc>
      </w:tr>
      <w:tr w:rsidR="008E5B84" w14:paraId="55076668" w14:textId="77777777" w:rsidTr="00590542">
        <w:trPr>
          <w:trHeight w:val="255"/>
        </w:trPr>
        <w:tc>
          <w:tcPr>
            <w:tcW w:w="4537" w:type="dxa"/>
            <w:tcBorders>
              <w:top w:val="nil"/>
              <w:left w:val="nil"/>
              <w:bottom w:val="single" w:sz="4" w:space="0" w:color="auto"/>
              <w:right w:val="nil"/>
            </w:tcBorders>
            <w:shd w:val="clear" w:color="auto" w:fill="auto"/>
            <w:vAlign w:val="bottom"/>
            <w:hideMark/>
          </w:tcPr>
          <w:p w14:paraId="2DDA4A8C" w14:textId="77777777" w:rsidR="008E5B84" w:rsidRDefault="008E5B84" w:rsidP="0058066A">
            <w:pPr>
              <w:spacing w:line="240" w:lineRule="auto"/>
              <w:contextualSpacing/>
              <w:rPr>
                <w:rFonts w:ascii="Arial" w:eastAsia="PMingLiU" w:hAnsi="Arial" w:cs="Arial"/>
                <w:i/>
                <w:iCs/>
                <w:color w:val="000000"/>
                <w:sz w:val="17"/>
                <w:szCs w:val="17"/>
              </w:rPr>
            </w:pPr>
            <w:r>
              <w:rPr>
                <w:rFonts w:ascii="Arial" w:eastAsia="PMingLiU" w:hAnsi="Arial" w:hint="eastAsia"/>
                <w:i/>
                <w:iCs/>
                <w:color w:val="000000"/>
                <w:sz w:val="17"/>
                <w:szCs w:val="17"/>
              </w:rPr>
              <w:t>未經審計（除共享數據外，以千為單位）</w:t>
            </w:r>
          </w:p>
        </w:tc>
        <w:tc>
          <w:tcPr>
            <w:tcW w:w="317" w:type="dxa"/>
            <w:tcBorders>
              <w:top w:val="nil"/>
              <w:left w:val="nil"/>
              <w:bottom w:val="nil"/>
              <w:right w:val="nil"/>
            </w:tcBorders>
            <w:shd w:val="clear" w:color="auto" w:fill="auto"/>
            <w:noWrap/>
            <w:vAlign w:val="bottom"/>
            <w:hideMark/>
          </w:tcPr>
          <w:p w14:paraId="2A6AA17F" w14:textId="77777777" w:rsidR="008E5B84" w:rsidRDefault="008E5B84" w:rsidP="0058066A">
            <w:pPr>
              <w:spacing w:line="240" w:lineRule="auto"/>
              <w:contextualSpacing/>
              <w:rPr>
                <w:rFonts w:ascii="Arial" w:hAnsi="Arial" w:cs="Arial"/>
                <w:i/>
                <w:iCs/>
                <w:color w:val="000000"/>
                <w:sz w:val="17"/>
                <w:szCs w:val="17"/>
              </w:rPr>
            </w:pPr>
          </w:p>
        </w:tc>
        <w:tc>
          <w:tcPr>
            <w:tcW w:w="987" w:type="dxa"/>
            <w:tcBorders>
              <w:top w:val="nil"/>
              <w:left w:val="nil"/>
              <w:bottom w:val="single" w:sz="4" w:space="0" w:color="auto"/>
              <w:right w:val="nil"/>
            </w:tcBorders>
            <w:shd w:val="clear" w:color="auto" w:fill="auto"/>
            <w:noWrap/>
            <w:vAlign w:val="bottom"/>
            <w:hideMark/>
          </w:tcPr>
          <w:p w14:paraId="57C2474C" w14:textId="77777777" w:rsidR="008E5B84" w:rsidRDefault="008E5B84" w:rsidP="0058066A">
            <w:pPr>
              <w:spacing w:line="240" w:lineRule="auto"/>
              <w:contextualSpacing/>
              <w:jc w:val="center"/>
              <w:rPr>
                <w:rFonts w:ascii="Arial" w:eastAsia="PMingLiU" w:hAnsi="Arial" w:cs="Arial"/>
                <w:b/>
                <w:bCs/>
                <w:color w:val="000000"/>
                <w:sz w:val="18"/>
                <w:szCs w:val="18"/>
              </w:rPr>
            </w:pPr>
            <w:r>
              <w:rPr>
                <w:rFonts w:ascii="Arial" w:eastAsia="PMingLiU" w:hAnsi="Arial" w:hint="eastAsia"/>
                <w:b/>
                <w:bCs/>
                <w:color w:val="000000"/>
                <w:sz w:val="18"/>
                <w:szCs w:val="18"/>
              </w:rPr>
              <w:t>2022</w:t>
            </w:r>
          </w:p>
        </w:tc>
        <w:tc>
          <w:tcPr>
            <w:tcW w:w="236" w:type="dxa"/>
            <w:tcBorders>
              <w:top w:val="nil"/>
              <w:left w:val="nil"/>
              <w:bottom w:val="single" w:sz="4" w:space="0" w:color="auto"/>
              <w:right w:val="nil"/>
            </w:tcBorders>
          </w:tcPr>
          <w:p w14:paraId="5336175C" w14:textId="77777777" w:rsidR="008E5B84" w:rsidRDefault="008E5B84" w:rsidP="0058066A">
            <w:pPr>
              <w:spacing w:line="240" w:lineRule="auto"/>
              <w:contextualSpacing/>
              <w:jc w:val="center"/>
              <w:rPr>
                <w:rFonts w:ascii="Arial" w:hAnsi="Arial" w:cs="Arial"/>
                <w:b/>
                <w:bCs/>
                <w:color w:val="000000"/>
                <w:sz w:val="18"/>
                <w:szCs w:val="18"/>
              </w:rPr>
            </w:pPr>
          </w:p>
        </w:tc>
        <w:tc>
          <w:tcPr>
            <w:tcW w:w="943" w:type="dxa"/>
            <w:gridSpan w:val="2"/>
            <w:tcBorders>
              <w:top w:val="nil"/>
              <w:left w:val="nil"/>
              <w:bottom w:val="single" w:sz="4" w:space="0" w:color="auto"/>
              <w:right w:val="nil"/>
            </w:tcBorders>
            <w:shd w:val="clear" w:color="auto" w:fill="auto"/>
            <w:noWrap/>
            <w:vAlign w:val="bottom"/>
            <w:hideMark/>
          </w:tcPr>
          <w:p w14:paraId="5D2AFBB6" w14:textId="77777777" w:rsidR="008E5B84" w:rsidRDefault="008E5B84" w:rsidP="0058066A">
            <w:pPr>
              <w:spacing w:line="240" w:lineRule="auto"/>
              <w:contextualSpacing/>
              <w:jc w:val="center"/>
              <w:rPr>
                <w:rFonts w:ascii="Arial" w:eastAsia="PMingLiU" w:hAnsi="Arial" w:cs="Arial"/>
                <w:b/>
                <w:bCs/>
                <w:color w:val="000000"/>
                <w:sz w:val="18"/>
                <w:szCs w:val="18"/>
              </w:rPr>
            </w:pPr>
            <w:r>
              <w:rPr>
                <w:rFonts w:ascii="Arial" w:eastAsia="PMingLiU" w:hAnsi="Arial" w:hint="eastAsia"/>
                <w:b/>
                <w:bCs/>
                <w:color w:val="000000"/>
                <w:sz w:val="18"/>
                <w:szCs w:val="18"/>
              </w:rPr>
              <w:t>2021</w:t>
            </w:r>
          </w:p>
        </w:tc>
      </w:tr>
      <w:tr w:rsidR="008E5B84" w14:paraId="2758BE85" w14:textId="77777777" w:rsidTr="00590542">
        <w:trPr>
          <w:trHeight w:val="255"/>
        </w:trPr>
        <w:tc>
          <w:tcPr>
            <w:tcW w:w="4537" w:type="dxa"/>
            <w:tcBorders>
              <w:top w:val="nil"/>
              <w:left w:val="nil"/>
              <w:bottom w:val="nil"/>
              <w:right w:val="nil"/>
            </w:tcBorders>
            <w:shd w:val="clear" w:color="auto" w:fill="auto"/>
            <w:vAlign w:val="bottom"/>
            <w:hideMark/>
          </w:tcPr>
          <w:p w14:paraId="17F09633" w14:textId="77777777" w:rsidR="008E5B84" w:rsidRDefault="008E5B84" w:rsidP="0058066A">
            <w:pPr>
              <w:spacing w:line="240" w:lineRule="auto"/>
              <w:contextualSpacing/>
              <w:jc w:val="center"/>
              <w:rPr>
                <w:rFonts w:ascii="Arial" w:hAnsi="Arial" w:cs="Arial"/>
                <w:b/>
                <w:bCs/>
                <w:color w:val="000000"/>
                <w:sz w:val="18"/>
                <w:szCs w:val="18"/>
              </w:rPr>
            </w:pPr>
          </w:p>
        </w:tc>
        <w:tc>
          <w:tcPr>
            <w:tcW w:w="317" w:type="dxa"/>
            <w:tcBorders>
              <w:top w:val="nil"/>
              <w:left w:val="nil"/>
              <w:bottom w:val="nil"/>
              <w:right w:val="nil"/>
            </w:tcBorders>
            <w:shd w:val="clear" w:color="auto" w:fill="auto"/>
            <w:noWrap/>
            <w:vAlign w:val="bottom"/>
            <w:hideMark/>
          </w:tcPr>
          <w:p w14:paraId="03BEE405" w14:textId="77777777" w:rsidR="008E5B84" w:rsidRDefault="008E5B84" w:rsidP="0058066A">
            <w:pPr>
              <w:spacing w:line="240" w:lineRule="auto"/>
              <w:contextualSpacing/>
              <w:rPr>
                <w:sz w:val="20"/>
                <w:szCs w:val="20"/>
              </w:rPr>
            </w:pPr>
          </w:p>
        </w:tc>
        <w:tc>
          <w:tcPr>
            <w:tcW w:w="987" w:type="dxa"/>
            <w:tcBorders>
              <w:top w:val="nil"/>
              <w:left w:val="nil"/>
              <w:bottom w:val="nil"/>
              <w:right w:val="nil"/>
            </w:tcBorders>
            <w:shd w:val="clear" w:color="auto" w:fill="auto"/>
            <w:noWrap/>
            <w:vAlign w:val="bottom"/>
            <w:hideMark/>
          </w:tcPr>
          <w:p w14:paraId="4D3E3DDA" w14:textId="77777777" w:rsidR="008E5B84" w:rsidRDefault="008E5B84" w:rsidP="0058066A">
            <w:pPr>
              <w:spacing w:line="240" w:lineRule="auto"/>
              <w:contextualSpacing/>
              <w:rPr>
                <w:sz w:val="20"/>
                <w:szCs w:val="20"/>
              </w:rPr>
            </w:pPr>
          </w:p>
        </w:tc>
        <w:tc>
          <w:tcPr>
            <w:tcW w:w="236" w:type="dxa"/>
            <w:tcBorders>
              <w:top w:val="nil"/>
              <w:left w:val="nil"/>
              <w:bottom w:val="nil"/>
              <w:right w:val="nil"/>
            </w:tcBorders>
          </w:tcPr>
          <w:p w14:paraId="67D7AA36" w14:textId="77777777" w:rsidR="008E5B84" w:rsidRDefault="008E5B84" w:rsidP="0058066A">
            <w:pPr>
              <w:spacing w:line="240" w:lineRule="auto"/>
              <w:contextualSpacing/>
              <w:jc w:val="center"/>
              <w:rPr>
                <w:sz w:val="20"/>
                <w:szCs w:val="20"/>
              </w:rPr>
            </w:pPr>
          </w:p>
        </w:tc>
        <w:tc>
          <w:tcPr>
            <w:tcW w:w="943" w:type="dxa"/>
            <w:gridSpan w:val="2"/>
            <w:tcBorders>
              <w:top w:val="nil"/>
              <w:left w:val="nil"/>
              <w:bottom w:val="nil"/>
              <w:right w:val="nil"/>
            </w:tcBorders>
            <w:shd w:val="clear" w:color="auto" w:fill="auto"/>
            <w:noWrap/>
            <w:vAlign w:val="bottom"/>
            <w:hideMark/>
          </w:tcPr>
          <w:p w14:paraId="57A9C789" w14:textId="77777777" w:rsidR="008E5B84" w:rsidRDefault="008E5B84" w:rsidP="0058066A">
            <w:pPr>
              <w:spacing w:line="240" w:lineRule="auto"/>
              <w:contextualSpacing/>
              <w:jc w:val="center"/>
              <w:rPr>
                <w:sz w:val="20"/>
                <w:szCs w:val="20"/>
              </w:rPr>
            </w:pPr>
          </w:p>
        </w:tc>
      </w:tr>
      <w:tr w:rsidR="008E5B84" w14:paraId="636C7249" w14:textId="77777777" w:rsidTr="00590542">
        <w:trPr>
          <w:trHeight w:val="255"/>
        </w:trPr>
        <w:tc>
          <w:tcPr>
            <w:tcW w:w="4537" w:type="dxa"/>
            <w:tcBorders>
              <w:top w:val="nil"/>
              <w:left w:val="nil"/>
              <w:bottom w:val="nil"/>
              <w:right w:val="nil"/>
            </w:tcBorders>
            <w:shd w:val="clear" w:color="auto" w:fill="auto"/>
            <w:vAlign w:val="bottom"/>
            <w:hideMark/>
          </w:tcPr>
          <w:p w14:paraId="1291AF70" w14:textId="77777777" w:rsidR="008E5B84" w:rsidRDefault="008E5B84" w:rsidP="0058066A">
            <w:pPr>
              <w:spacing w:line="240" w:lineRule="auto"/>
              <w:contextualSpacing/>
              <w:rPr>
                <w:rFonts w:ascii="Arial" w:eastAsia="PMingLiU" w:hAnsi="Arial" w:cs="Arial"/>
                <w:b/>
                <w:bCs/>
                <w:color w:val="2F75B5"/>
                <w:sz w:val="18"/>
                <w:szCs w:val="18"/>
              </w:rPr>
            </w:pPr>
            <w:r>
              <w:rPr>
                <w:rFonts w:ascii="Arial" w:eastAsia="PMingLiU" w:hAnsi="Arial" w:hint="eastAsia"/>
                <w:b/>
                <w:bCs/>
                <w:color w:val="2F75B5"/>
                <w:sz w:val="18"/>
                <w:szCs w:val="18"/>
              </w:rPr>
              <w:t>股東權益（赤字）</w:t>
            </w:r>
          </w:p>
        </w:tc>
        <w:tc>
          <w:tcPr>
            <w:tcW w:w="317" w:type="dxa"/>
            <w:tcBorders>
              <w:top w:val="nil"/>
              <w:left w:val="nil"/>
              <w:bottom w:val="nil"/>
              <w:right w:val="nil"/>
            </w:tcBorders>
            <w:shd w:val="clear" w:color="auto" w:fill="auto"/>
            <w:noWrap/>
            <w:vAlign w:val="bottom"/>
            <w:hideMark/>
          </w:tcPr>
          <w:p w14:paraId="7A041B39" w14:textId="77777777" w:rsidR="008E5B84" w:rsidRDefault="008E5B84" w:rsidP="0058066A">
            <w:pPr>
              <w:spacing w:line="240" w:lineRule="auto"/>
              <w:contextualSpacing/>
              <w:rPr>
                <w:rFonts w:ascii="Arial" w:hAnsi="Arial" w:cs="Arial"/>
                <w:b/>
                <w:bCs/>
                <w:color w:val="2F75B5"/>
                <w:sz w:val="18"/>
                <w:szCs w:val="18"/>
              </w:rPr>
            </w:pPr>
          </w:p>
        </w:tc>
        <w:tc>
          <w:tcPr>
            <w:tcW w:w="987" w:type="dxa"/>
            <w:tcBorders>
              <w:top w:val="nil"/>
              <w:left w:val="nil"/>
              <w:bottom w:val="nil"/>
              <w:right w:val="nil"/>
            </w:tcBorders>
            <w:shd w:val="clear" w:color="auto" w:fill="auto"/>
            <w:noWrap/>
            <w:vAlign w:val="bottom"/>
            <w:hideMark/>
          </w:tcPr>
          <w:p w14:paraId="0A955B1D" w14:textId="77777777" w:rsidR="008E5B84" w:rsidRDefault="008E5B84" w:rsidP="0058066A">
            <w:pPr>
              <w:spacing w:line="240" w:lineRule="auto"/>
              <w:contextualSpacing/>
              <w:rPr>
                <w:sz w:val="20"/>
                <w:szCs w:val="20"/>
              </w:rPr>
            </w:pPr>
          </w:p>
        </w:tc>
        <w:tc>
          <w:tcPr>
            <w:tcW w:w="236" w:type="dxa"/>
            <w:tcBorders>
              <w:top w:val="nil"/>
              <w:left w:val="nil"/>
              <w:right w:val="nil"/>
            </w:tcBorders>
          </w:tcPr>
          <w:p w14:paraId="1ED50F53" w14:textId="77777777" w:rsidR="008E5B84" w:rsidRDefault="008E5B84" w:rsidP="0058066A">
            <w:pPr>
              <w:spacing w:line="240" w:lineRule="auto"/>
              <w:contextualSpacing/>
              <w:rPr>
                <w:sz w:val="20"/>
                <w:szCs w:val="20"/>
              </w:rPr>
            </w:pPr>
          </w:p>
        </w:tc>
        <w:tc>
          <w:tcPr>
            <w:tcW w:w="943" w:type="dxa"/>
            <w:gridSpan w:val="2"/>
            <w:tcBorders>
              <w:top w:val="nil"/>
              <w:left w:val="nil"/>
              <w:bottom w:val="nil"/>
              <w:right w:val="nil"/>
            </w:tcBorders>
            <w:shd w:val="clear" w:color="auto" w:fill="auto"/>
            <w:noWrap/>
            <w:vAlign w:val="bottom"/>
            <w:hideMark/>
          </w:tcPr>
          <w:p w14:paraId="6EB9A7EF" w14:textId="77777777" w:rsidR="008E5B84" w:rsidRDefault="008E5B84" w:rsidP="0058066A">
            <w:pPr>
              <w:spacing w:line="240" w:lineRule="auto"/>
              <w:contextualSpacing/>
              <w:rPr>
                <w:sz w:val="20"/>
                <w:szCs w:val="20"/>
              </w:rPr>
            </w:pPr>
          </w:p>
        </w:tc>
      </w:tr>
      <w:tr w:rsidR="008E5B84" w14:paraId="51B083C1" w14:textId="77777777" w:rsidTr="00590542">
        <w:trPr>
          <w:trHeight w:val="255"/>
        </w:trPr>
        <w:tc>
          <w:tcPr>
            <w:tcW w:w="4537" w:type="dxa"/>
            <w:tcBorders>
              <w:top w:val="nil"/>
              <w:left w:val="nil"/>
              <w:bottom w:val="nil"/>
              <w:right w:val="nil"/>
            </w:tcBorders>
            <w:shd w:val="clear" w:color="000000" w:fill="FFFFFF"/>
            <w:noWrap/>
            <w:vAlign w:val="bottom"/>
            <w:hideMark/>
          </w:tcPr>
          <w:p w14:paraId="52693B1A" w14:textId="77777777" w:rsidR="008E5B84" w:rsidRDefault="008E5B84" w:rsidP="0058066A">
            <w:pPr>
              <w:spacing w:line="240" w:lineRule="auto"/>
              <w:contextualSpacing/>
              <w:rPr>
                <w:rFonts w:ascii="Arial" w:eastAsia="PMingLiU" w:hAnsi="Arial" w:cs="Arial"/>
                <w:b/>
                <w:bCs/>
                <w:sz w:val="18"/>
                <w:szCs w:val="18"/>
              </w:rPr>
            </w:pPr>
            <w:r>
              <w:rPr>
                <w:rFonts w:ascii="Arial" w:eastAsia="PMingLiU" w:hAnsi="Arial" w:hint="eastAsia"/>
                <w:b/>
                <w:bCs/>
                <w:sz w:val="18"/>
                <w:szCs w:val="18"/>
              </w:rPr>
              <w:t>股東權益（赤字），包括</w:t>
            </w:r>
            <w:r>
              <w:rPr>
                <w:rFonts w:ascii="Arial" w:eastAsia="PMingLiU" w:hAnsi="Arial" w:hint="eastAsia"/>
                <w:b/>
                <w:bCs/>
                <w:sz w:val="18"/>
                <w:szCs w:val="18"/>
              </w:rPr>
              <w:t xml:space="preserve"> AOCI</w:t>
            </w:r>
          </w:p>
        </w:tc>
        <w:tc>
          <w:tcPr>
            <w:tcW w:w="317" w:type="dxa"/>
            <w:tcBorders>
              <w:top w:val="nil"/>
              <w:left w:val="nil"/>
              <w:bottom w:val="nil"/>
              <w:right w:val="nil"/>
            </w:tcBorders>
            <w:shd w:val="clear" w:color="auto" w:fill="auto"/>
            <w:noWrap/>
            <w:vAlign w:val="bottom"/>
            <w:hideMark/>
          </w:tcPr>
          <w:p w14:paraId="2A0D3375" w14:textId="77777777" w:rsidR="008E5B84" w:rsidRDefault="008E5B84" w:rsidP="0058066A">
            <w:pPr>
              <w:spacing w:line="240" w:lineRule="auto"/>
              <w:contextualSpacing/>
              <w:jc w:val="right"/>
              <w:rPr>
                <w:rFonts w:ascii="Arial" w:eastAsia="PMingLiU" w:hAnsi="Arial" w:cs="Arial"/>
                <w:b/>
                <w:bCs/>
                <w:color w:val="000000"/>
                <w:sz w:val="18"/>
                <w:szCs w:val="18"/>
              </w:rPr>
            </w:pPr>
            <w:r>
              <w:rPr>
                <w:rFonts w:ascii="Arial" w:eastAsia="PMingLiU" w:hAnsi="Arial" w:hint="eastAsia"/>
                <w:b/>
                <w:bCs/>
                <w:color w:val="000000"/>
                <w:sz w:val="18"/>
                <w:szCs w:val="18"/>
              </w:rPr>
              <w:t>$</w:t>
            </w:r>
          </w:p>
        </w:tc>
        <w:tc>
          <w:tcPr>
            <w:tcW w:w="987" w:type="dxa"/>
            <w:tcBorders>
              <w:top w:val="nil"/>
              <w:left w:val="nil"/>
              <w:bottom w:val="nil"/>
              <w:right w:val="nil"/>
            </w:tcBorders>
            <w:shd w:val="clear" w:color="auto" w:fill="auto"/>
            <w:noWrap/>
            <w:vAlign w:val="bottom"/>
            <w:hideMark/>
          </w:tcPr>
          <w:p w14:paraId="577BCF44" w14:textId="585FE954" w:rsidR="008E5B84" w:rsidRPr="00B64F1E" w:rsidRDefault="0023217E" w:rsidP="00187B44">
            <w:pPr>
              <w:spacing w:line="240" w:lineRule="auto"/>
              <w:contextualSpacing/>
              <w:jc w:val="right"/>
              <w:rPr>
                <w:rFonts w:ascii="Arial" w:eastAsia="PMingLiU" w:hAnsi="Arial" w:cs="Arial"/>
                <w:b/>
                <w:bCs/>
                <w:color w:val="000000"/>
                <w:sz w:val="18"/>
                <w:szCs w:val="18"/>
              </w:rPr>
            </w:pPr>
            <w:r>
              <w:rPr>
                <w:rFonts w:ascii="Arial" w:eastAsia="PMingLiU" w:hAnsi="Arial" w:hint="eastAsia"/>
                <w:b/>
                <w:bCs/>
                <w:color w:val="000000"/>
                <w:sz w:val="18"/>
                <w:szCs w:val="18"/>
              </w:rPr>
              <w:t>1,043</w:t>
            </w:r>
          </w:p>
        </w:tc>
        <w:tc>
          <w:tcPr>
            <w:tcW w:w="236" w:type="dxa"/>
            <w:tcBorders>
              <w:top w:val="nil"/>
              <w:left w:val="nil"/>
              <w:bottom w:val="nil"/>
              <w:right w:val="nil"/>
            </w:tcBorders>
          </w:tcPr>
          <w:p w14:paraId="43CB53A5" w14:textId="77777777" w:rsidR="008E5B84" w:rsidRDefault="008E5B84" w:rsidP="00187B44">
            <w:pPr>
              <w:spacing w:line="240" w:lineRule="auto"/>
              <w:contextualSpacing/>
              <w:jc w:val="right"/>
              <w:rPr>
                <w:rFonts w:ascii="Arial" w:hAnsi="Arial" w:cs="Arial"/>
                <w:b/>
                <w:bCs/>
                <w:color w:val="000000"/>
                <w:sz w:val="18"/>
                <w:szCs w:val="18"/>
              </w:rPr>
            </w:pPr>
          </w:p>
        </w:tc>
        <w:tc>
          <w:tcPr>
            <w:tcW w:w="943" w:type="dxa"/>
            <w:gridSpan w:val="2"/>
            <w:tcBorders>
              <w:top w:val="nil"/>
              <w:left w:val="nil"/>
              <w:bottom w:val="nil"/>
              <w:right w:val="nil"/>
            </w:tcBorders>
            <w:shd w:val="clear" w:color="auto" w:fill="auto"/>
            <w:noWrap/>
            <w:vAlign w:val="bottom"/>
            <w:hideMark/>
          </w:tcPr>
          <w:p w14:paraId="6A54C904" w14:textId="44EEC2D9" w:rsidR="008E5B84" w:rsidRDefault="008E5B84" w:rsidP="00187B44">
            <w:pPr>
              <w:spacing w:line="240" w:lineRule="auto"/>
              <w:contextualSpacing/>
              <w:jc w:val="right"/>
              <w:rPr>
                <w:rFonts w:ascii="Arial" w:eastAsia="PMingLiU" w:hAnsi="Arial" w:cs="Arial"/>
                <w:b/>
                <w:bCs/>
                <w:color w:val="000000"/>
                <w:sz w:val="18"/>
                <w:szCs w:val="18"/>
              </w:rPr>
            </w:pPr>
            <w:r>
              <w:rPr>
                <w:rFonts w:ascii="Arial" w:eastAsia="PMingLiU" w:hAnsi="Arial" w:hint="eastAsia"/>
                <w:b/>
                <w:bCs/>
                <w:color w:val="000000"/>
                <w:sz w:val="18"/>
                <w:szCs w:val="18"/>
              </w:rPr>
              <w:t xml:space="preserve">     320,571 </w:t>
            </w:r>
          </w:p>
        </w:tc>
      </w:tr>
      <w:tr w:rsidR="008E5B84" w14:paraId="60C7EF6C" w14:textId="77777777" w:rsidTr="00590542">
        <w:trPr>
          <w:trHeight w:val="255"/>
        </w:trPr>
        <w:tc>
          <w:tcPr>
            <w:tcW w:w="4537" w:type="dxa"/>
            <w:tcBorders>
              <w:top w:val="nil"/>
              <w:left w:val="nil"/>
              <w:bottom w:val="nil"/>
              <w:right w:val="nil"/>
            </w:tcBorders>
            <w:shd w:val="clear" w:color="000000" w:fill="FFFFFF"/>
            <w:noWrap/>
            <w:vAlign w:val="bottom"/>
          </w:tcPr>
          <w:p w14:paraId="7BBB7321" w14:textId="77777777" w:rsidR="008E5B84" w:rsidRDefault="008E5B84" w:rsidP="0058066A">
            <w:pPr>
              <w:spacing w:after="0" w:line="240" w:lineRule="auto"/>
              <w:contextualSpacing/>
              <w:rPr>
                <w:rFonts w:ascii="Arial" w:eastAsia="PMingLiU" w:hAnsi="Arial" w:cs="Arial"/>
                <w:sz w:val="18"/>
                <w:szCs w:val="18"/>
              </w:rPr>
            </w:pPr>
            <w:r>
              <w:rPr>
                <w:rFonts w:ascii="Arial" w:eastAsia="PMingLiU" w:hAnsi="Arial" w:hint="eastAsia"/>
                <w:sz w:val="18"/>
                <w:szCs w:val="18"/>
              </w:rPr>
              <w:t>較少的：</w:t>
            </w:r>
          </w:p>
        </w:tc>
        <w:tc>
          <w:tcPr>
            <w:tcW w:w="317" w:type="dxa"/>
            <w:tcBorders>
              <w:top w:val="nil"/>
              <w:left w:val="nil"/>
              <w:bottom w:val="nil"/>
              <w:right w:val="nil"/>
            </w:tcBorders>
            <w:shd w:val="clear" w:color="auto" w:fill="auto"/>
            <w:vAlign w:val="bottom"/>
          </w:tcPr>
          <w:p w14:paraId="613CA808" w14:textId="77777777" w:rsidR="008E5B84" w:rsidRDefault="008E5B84" w:rsidP="0058066A">
            <w:pPr>
              <w:spacing w:line="240" w:lineRule="auto"/>
              <w:contextualSpacing/>
              <w:rPr>
                <w:rFonts w:ascii="Arial" w:hAnsi="Arial" w:cs="Arial"/>
                <w:sz w:val="18"/>
                <w:szCs w:val="18"/>
              </w:rPr>
            </w:pPr>
          </w:p>
        </w:tc>
        <w:tc>
          <w:tcPr>
            <w:tcW w:w="987" w:type="dxa"/>
            <w:tcBorders>
              <w:top w:val="nil"/>
              <w:left w:val="nil"/>
              <w:bottom w:val="nil"/>
              <w:right w:val="nil"/>
            </w:tcBorders>
            <w:shd w:val="clear" w:color="auto" w:fill="auto"/>
            <w:noWrap/>
            <w:vAlign w:val="bottom"/>
          </w:tcPr>
          <w:p w14:paraId="6F071C3C" w14:textId="77777777" w:rsidR="008E5B84" w:rsidRDefault="008E5B84" w:rsidP="00187B44">
            <w:pPr>
              <w:spacing w:line="240" w:lineRule="auto"/>
              <w:contextualSpacing/>
              <w:jc w:val="right"/>
              <w:rPr>
                <w:rFonts w:ascii="Arial" w:hAnsi="Arial" w:cs="Arial"/>
                <w:color w:val="000000"/>
                <w:sz w:val="18"/>
                <w:szCs w:val="18"/>
              </w:rPr>
            </w:pPr>
          </w:p>
        </w:tc>
        <w:tc>
          <w:tcPr>
            <w:tcW w:w="236" w:type="dxa"/>
            <w:tcBorders>
              <w:top w:val="nil"/>
              <w:left w:val="nil"/>
              <w:bottom w:val="nil"/>
              <w:right w:val="nil"/>
            </w:tcBorders>
          </w:tcPr>
          <w:p w14:paraId="7ED3281F" w14:textId="77777777" w:rsidR="008E5B84" w:rsidRDefault="008E5B84" w:rsidP="000E0EA2">
            <w:pPr>
              <w:spacing w:line="240" w:lineRule="auto"/>
              <w:contextualSpacing/>
              <w:jc w:val="right"/>
              <w:rPr>
                <w:rFonts w:ascii="Arial" w:hAnsi="Arial" w:cs="Arial"/>
                <w:color w:val="000000"/>
                <w:sz w:val="18"/>
                <w:szCs w:val="18"/>
              </w:rPr>
            </w:pPr>
          </w:p>
        </w:tc>
        <w:tc>
          <w:tcPr>
            <w:tcW w:w="943" w:type="dxa"/>
            <w:gridSpan w:val="2"/>
            <w:tcBorders>
              <w:top w:val="nil"/>
              <w:left w:val="nil"/>
              <w:bottom w:val="nil"/>
              <w:right w:val="nil"/>
            </w:tcBorders>
            <w:shd w:val="clear" w:color="auto" w:fill="auto"/>
            <w:noWrap/>
            <w:vAlign w:val="bottom"/>
          </w:tcPr>
          <w:p w14:paraId="05B7370F" w14:textId="77777777" w:rsidR="008E5B84" w:rsidRDefault="008E5B84" w:rsidP="00187B44">
            <w:pPr>
              <w:spacing w:line="240" w:lineRule="auto"/>
              <w:contextualSpacing/>
              <w:jc w:val="right"/>
              <w:rPr>
                <w:rFonts w:ascii="Arial" w:hAnsi="Arial" w:cs="Arial"/>
                <w:color w:val="000000"/>
                <w:sz w:val="18"/>
                <w:szCs w:val="18"/>
              </w:rPr>
            </w:pPr>
          </w:p>
        </w:tc>
      </w:tr>
      <w:tr w:rsidR="008E5B84" w14:paraId="29B627AF" w14:textId="77777777" w:rsidTr="00590542">
        <w:trPr>
          <w:trHeight w:val="255"/>
        </w:trPr>
        <w:tc>
          <w:tcPr>
            <w:tcW w:w="4537" w:type="dxa"/>
            <w:tcBorders>
              <w:top w:val="nil"/>
              <w:left w:val="nil"/>
              <w:bottom w:val="nil"/>
              <w:right w:val="nil"/>
            </w:tcBorders>
            <w:shd w:val="clear" w:color="000000" w:fill="FFFFFF"/>
            <w:noWrap/>
            <w:vAlign w:val="bottom"/>
            <w:hideMark/>
          </w:tcPr>
          <w:p w14:paraId="7138EC2E" w14:textId="77777777" w:rsidR="008E5B84" w:rsidRDefault="008E5B84" w:rsidP="0058066A">
            <w:pPr>
              <w:spacing w:line="240" w:lineRule="auto"/>
              <w:ind w:firstLine="255"/>
              <w:contextualSpacing/>
              <w:rPr>
                <w:rFonts w:ascii="Arial" w:eastAsia="PMingLiU" w:hAnsi="Arial" w:cs="Arial"/>
                <w:sz w:val="18"/>
                <w:szCs w:val="18"/>
              </w:rPr>
            </w:pPr>
            <w:r>
              <w:rPr>
                <w:rFonts w:ascii="Arial" w:eastAsia="PMingLiU" w:hAnsi="Arial" w:hint="eastAsia"/>
                <w:sz w:val="18"/>
                <w:szCs w:val="18"/>
              </w:rPr>
              <w:t>AOCI</w:t>
            </w:r>
          </w:p>
        </w:tc>
        <w:tc>
          <w:tcPr>
            <w:tcW w:w="317" w:type="dxa"/>
            <w:tcBorders>
              <w:top w:val="nil"/>
              <w:left w:val="nil"/>
              <w:bottom w:val="nil"/>
              <w:right w:val="nil"/>
            </w:tcBorders>
            <w:shd w:val="clear" w:color="auto" w:fill="auto"/>
            <w:vAlign w:val="bottom"/>
            <w:hideMark/>
          </w:tcPr>
          <w:p w14:paraId="2FC99AC5" w14:textId="77777777" w:rsidR="008E5B84" w:rsidRDefault="008E5B84" w:rsidP="0058066A">
            <w:pPr>
              <w:spacing w:line="240" w:lineRule="auto"/>
              <w:contextualSpacing/>
              <w:rPr>
                <w:rFonts w:ascii="Arial" w:hAnsi="Arial" w:cs="Arial"/>
                <w:sz w:val="18"/>
                <w:szCs w:val="18"/>
              </w:rPr>
            </w:pPr>
          </w:p>
        </w:tc>
        <w:tc>
          <w:tcPr>
            <w:tcW w:w="987" w:type="dxa"/>
            <w:tcBorders>
              <w:top w:val="nil"/>
              <w:left w:val="nil"/>
              <w:bottom w:val="nil"/>
              <w:right w:val="nil"/>
            </w:tcBorders>
            <w:shd w:val="clear" w:color="auto" w:fill="auto"/>
            <w:noWrap/>
            <w:vAlign w:val="bottom"/>
            <w:hideMark/>
          </w:tcPr>
          <w:p w14:paraId="64434D5B" w14:textId="16E7022E" w:rsidR="008E5B84" w:rsidRPr="00B64F1E" w:rsidRDefault="004803F0" w:rsidP="004803F0">
            <w:pPr>
              <w:spacing w:line="240" w:lineRule="auto"/>
              <w:contextualSpacing/>
              <w:jc w:val="right"/>
              <w:rPr>
                <w:rFonts w:ascii="Arial" w:eastAsia="PMingLiU" w:hAnsi="Arial" w:cs="Arial"/>
                <w:color w:val="000000"/>
                <w:sz w:val="18"/>
                <w:szCs w:val="18"/>
              </w:rPr>
            </w:pPr>
            <w:r>
              <w:rPr>
                <w:rFonts w:ascii="Arial" w:eastAsia="PMingLiU" w:hAnsi="Arial" w:hint="eastAsia"/>
                <w:color w:val="000000"/>
                <w:sz w:val="18"/>
                <w:szCs w:val="18"/>
              </w:rPr>
              <w:t>(</w:t>
            </w:r>
            <w:r w:rsidR="008E5B84">
              <w:rPr>
                <w:rFonts w:ascii="Arial" w:eastAsia="PMingLiU" w:hAnsi="Arial" w:hint="eastAsia"/>
                <w:color w:val="000000"/>
                <w:sz w:val="18"/>
                <w:szCs w:val="18"/>
              </w:rPr>
              <w:t>195,279</w:t>
            </w:r>
            <w:r>
              <w:rPr>
                <w:rFonts w:ascii="Arial" w:eastAsia="PMingLiU" w:hAnsi="Arial" w:hint="eastAsia"/>
                <w:color w:val="000000"/>
                <w:sz w:val="18"/>
                <w:szCs w:val="18"/>
              </w:rPr>
              <w:t>)</w:t>
            </w:r>
          </w:p>
        </w:tc>
        <w:tc>
          <w:tcPr>
            <w:tcW w:w="236" w:type="dxa"/>
            <w:tcBorders>
              <w:top w:val="nil"/>
              <w:left w:val="nil"/>
              <w:bottom w:val="nil"/>
              <w:right w:val="nil"/>
            </w:tcBorders>
          </w:tcPr>
          <w:p w14:paraId="04FB9B71" w14:textId="77777777" w:rsidR="008E5B84" w:rsidRDefault="008E5B84" w:rsidP="000E0EA2">
            <w:pPr>
              <w:spacing w:line="240" w:lineRule="auto"/>
              <w:contextualSpacing/>
              <w:jc w:val="right"/>
              <w:rPr>
                <w:rFonts w:ascii="Arial" w:hAnsi="Arial" w:cs="Arial"/>
                <w:color w:val="000000"/>
                <w:sz w:val="18"/>
                <w:szCs w:val="18"/>
              </w:rPr>
            </w:pPr>
          </w:p>
        </w:tc>
        <w:tc>
          <w:tcPr>
            <w:tcW w:w="943" w:type="dxa"/>
            <w:gridSpan w:val="2"/>
            <w:tcBorders>
              <w:top w:val="nil"/>
              <w:left w:val="nil"/>
              <w:bottom w:val="nil"/>
              <w:right w:val="nil"/>
            </w:tcBorders>
            <w:shd w:val="clear" w:color="auto" w:fill="auto"/>
            <w:noWrap/>
            <w:vAlign w:val="bottom"/>
            <w:hideMark/>
          </w:tcPr>
          <w:p w14:paraId="4386E96F" w14:textId="0AE033B6" w:rsidR="008E5B84" w:rsidRDefault="008E5B84" w:rsidP="00187B44">
            <w:pPr>
              <w:spacing w:line="240" w:lineRule="auto"/>
              <w:contextualSpacing/>
              <w:jc w:val="right"/>
              <w:rPr>
                <w:rFonts w:ascii="Arial" w:eastAsia="PMingLiU" w:hAnsi="Arial" w:cs="Arial"/>
                <w:color w:val="000000"/>
                <w:sz w:val="18"/>
                <w:szCs w:val="18"/>
              </w:rPr>
            </w:pPr>
            <w:r>
              <w:rPr>
                <w:rFonts w:ascii="Arial" w:eastAsia="PMingLiU" w:hAnsi="Arial" w:hint="eastAsia"/>
                <w:color w:val="000000"/>
                <w:sz w:val="18"/>
                <w:szCs w:val="18"/>
              </w:rPr>
              <w:t xml:space="preserve"> 117,492 </w:t>
            </w:r>
          </w:p>
        </w:tc>
      </w:tr>
      <w:tr w:rsidR="008E5B84" w14:paraId="406DB2C9" w14:textId="77777777" w:rsidTr="00590542">
        <w:trPr>
          <w:trHeight w:val="255"/>
        </w:trPr>
        <w:tc>
          <w:tcPr>
            <w:tcW w:w="4537" w:type="dxa"/>
            <w:tcBorders>
              <w:top w:val="nil"/>
              <w:left w:val="nil"/>
              <w:bottom w:val="nil"/>
              <w:right w:val="nil"/>
            </w:tcBorders>
            <w:shd w:val="clear" w:color="000000" w:fill="FFFFFF"/>
            <w:noWrap/>
            <w:vAlign w:val="bottom"/>
            <w:hideMark/>
          </w:tcPr>
          <w:p w14:paraId="4C1D2EAE" w14:textId="77777777" w:rsidR="008E5B84" w:rsidRDefault="008E5B84" w:rsidP="0058066A">
            <w:pPr>
              <w:spacing w:line="240" w:lineRule="auto"/>
              <w:contextualSpacing/>
              <w:rPr>
                <w:rFonts w:ascii="Arial" w:eastAsia="PMingLiU" w:hAnsi="Arial" w:cs="Arial"/>
                <w:b/>
                <w:bCs/>
                <w:sz w:val="18"/>
                <w:szCs w:val="18"/>
              </w:rPr>
            </w:pPr>
            <w:r>
              <w:rPr>
                <w:rFonts w:ascii="Arial" w:eastAsia="PMingLiU" w:hAnsi="Arial" w:hint="eastAsia"/>
                <w:b/>
                <w:bCs/>
                <w:sz w:val="18"/>
                <w:szCs w:val="18"/>
              </w:rPr>
              <w:t>股東權益，不包括</w:t>
            </w:r>
            <w:r>
              <w:rPr>
                <w:rFonts w:ascii="Arial" w:eastAsia="PMingLiU" w:hAnsi="Arial" w:hint="eastAsia"/>
                <w:b/>
                <w:bCs/>
                <w:sz w:val="18"/>
                <w:szCs w:val="18"/>
              </w:rPr>
              <w:t xml:space="preserve"> AOCI</w:t>
            </w:r>
          </w:p>
        </w:tc>
        <w:tc>
          <w:tcPr>
            <w:tcW w:w="317" w:type="dxa"/>
            <w:tcBorders>
              <w:top w:val="single" w:sz="4" w:space="0" w:color="auto"/>
              <w:left w:val="nil"/>
              <w:bottom w:val="double" w:sz="6" w:space="0" w:color="auto"/>
              <w:right w:val="nil"/>
            </w:tcBorders>
            <w:shd w:val="clear" w:color="auto" w:fill="auto"/>
            <w:noWrap/>
            <w:vAlign w:val="bottom"/>
            <w:hideMark/>
          </w:tcPr>
          <w:p w14:paraId="16949557" w14:textId="77777777" w:rsidR="008E5B84" w:rsidRDefault="008E5B84" w:rsidP="0058066A">
            <w:pPr>
              <w:spacing w:line="240" w:lineRule="auto"/>
              <w:contextualSpacing/>
              <w:rPr>
                <w:rFonts w:ascii="Arial" w:eastAsia="PMingLiU" w:hAnsi="Arial" w:cs="Arial"/>
                <w:b/>
                <w:bCs/>
                <w:sz w:val="18"/>
                <w:szCs w:val="18"/>
              </w:rPr>
            </w:pPr>
            <w:r>
              <w:rPr>
                <w:rFonts w:ascii="Arial" w:eastAsia="PMingLiU" w:hAnsi="Arial" w:hint="eastAsia"/>
                <w:b/>
                <w:bCs/>
                <w:sz w:val="18"/>
                <w:szCs w:val="18"/>
              </w:rPr>
              <w:t xml:space="preserve">$ </w:t>
            </w:r>
          </w:p>
        </w:tc>
        <w:tc>
          <w:tcPr>
            <w:tcW w:w="987" w:type="dxa"/>
            <w:tcBorders>
              <w:top w:val="single" w:sz="4" w:space="0" w:color="auto"/>
              <w:left w:val="nil"/>
              <w:bottom w:val="double" w:sz="6" w:space="0" w:color="auto"/>
              <w:right w:val="nil"/>
            </w:tcBorders>
            <w:shd w:val="clear" w:color="auto" w:fill="auto"/>
            <w:noWrap/>
            <w:vAlign w:val="bottom"/>
            <w:hideMark/>
          </w:tcPr>
          <w:p w14:paraId="5D31F30F" w14:textId="562C86F6" w:rsidR="008E5B84" w:rsidRPr="00B64F1E" w:rsidRDefault="008E5B84" w:rsidP="00187B44">
            <w:pPr>
              <w:spacing w:line="240" w:lineRule="auto"/>
              <w:contextualSpacing/>
              <w:jc w:val="right"/>
              <w:rPr>
                <w:rFonts w:ascii="Arial" w:eastAsia="PMingLiU" w:hAnsi="Arial" w:cs="Arial"/>
                <w:b/>
                <w:bCs/>
                <w:sz w:val="18"/>
                <w:szCs w:val="18"/>
              </w:rPr>
            </w:pPr>
            <w:r>
              <w:rPr>
                <w:rFonts w:ascii="Arial" w:eastAsia="PMingLiU" w:hAnsi="Arial" w:hint="eastAsia"/>
                <w:b/>
                <w:bCs/>
                <w:color w:val="000000"/>
                <w:sz w:val="18"/>
                <w:szCs w:val="18"/>
              </w:rPr>
              <w:t xml:space="preserve">           196,322 </w:t>
            </w:r>
          </w:p>
        </w:tc>
        <w:tc>
          <w:tcPr>
            <w:tcW w:w="236" w:type="dxa"/>
            <w:tcBorders>
              <w:left w:val="nil"/>
              <w:right w:val="nil"/>
            </w:tcBorders>
          </w:tcPr>
          <w:p w14:paraId="60467916" w14:textId="77777777" w:rsidR="008E5B84" w:rsidRDefault="008E5B84" w:rsidP="000E0EA2">
            <w:pPr>
              <w:spacing w:line="240" w:lineRule="auto"/>
              <w:contextualSpacing/>
              <w:jc w:val="right"/>
              <w:rPr>
                <w:rFonts w:ascii="Arial" w:hAnsi="Arial" w:cs="Arial"/>
                <w:b/>
                <w:bCs/>
                <w:sz w:val="18"/>
                <w:szCs w:val="18"/>
              </w:rPr>
            </w:pPr>
          </w:p>
        </w:tc>
        <w:tc>
          <w:tcPr>
            <w:tcW w:w="943" w:type="dxa"/>
            <w:gridSpan w:val="2"/>
            <w:tcBorders>
              <w:top w:val="single" w:sz="4" w:space="0" w:color="auto"/>
              <w:left w:val="nil"/>
              <w:bottom w:val="double" w:sz="6" w:space="0" w:color="auto"/>
              <w:right w:val="nil"/>
            </w:tcBorders>
            <w:shd w:val="clear" w:color="auto" w:fill="auto"/>
            <w:noWrap/>
            <w:vAlign w:val="bottom"/>
            <w:hideMark/>
          </w:tcPr>
          <w:p w14:paraId="0AA03DC0" w14:textId="05426DE7" w:rsidR="008E5B84" w:rsidRDefault="008E5B84" w:rsidP="000E0EA2">
            <w:pPr>
              <w:spacing w:line="240" w:lineRule="auto"/>
              <w:contextualSpacing/>
              <w:jc w:val="right"/>
              <w:rPr>
                <w:rFonts w:ascii="Arial" w:eastAsia="PMingLiU" w:hAnsi="Arial" w:cs="Arial"/>
                <w:b/>
                <w:bCs/>
                <w:sz w:val="18"/>
                <w:szCs w:val="18"/>
              </w:rPr>
            </w:pPr>
            <w:r>
              <w:rPr>
                <w:rFonts w:ascii="Arial" w:eastAsia="PMingLiU" w:hAnsi="Arial" w:hint="eastAsia"/>
                <w:b/>
                <w:bCs/>
                <w:color w:val="000000"/>
                <w:sz w:val="18"/>
                <w:szCs w:val="18"/>
              </w:rPr>
              <w:t xml:space="preserve">           203,079 </w:t>
            </w:r>
          </w:p>
        </w:tc>
      </w:tr>
      <w:tr w:rsidR="008E5B84" w14:paraId="4B62E20B" w14:textId="77777777" w:rsidTr="00590542">
        <w:trPr>
          <w:trHeight w:val="255"/>
        </w:trPr>
        <w:tc>
          <w:tcPr>
            <w:tcW w:w="4537" w:type="dxa"/>
            <w:tcBorders>
              <w:top w:val="nil"/>
              <w:left w:val="nil"/>
              <w:bottom w:val="nil"/>
              <w:right w:val="nil"/>
            </w:tcBorders>
            <w:shd w:val="clear" w:color="000000" w:fill="FFFFFF"/>
            <w:noWrap/>
            <w:vAlign w:val="bottom"/>
            <w:hideMark/>
          </w:tcPr>
          <w:p w14:paraId="4B70A029" w14:textId="77777777" w:rsidR="008E5B84" w:rsidRDefault="008E5B84" w:rsidP="0058066A">
            <w:pPr>
              <w:spacing w:line="240" w:lineRule="auto"/>
              <w:contextualSpacing/>
              <w:rPr>
                <w:rFonts w:ascii="Arial" w:eastAsia="PMingLiU" w:hAnsi="Arial" w:cs="Arial"/>
                <w:b/>
                <w:bCs/>
                <w:sz w:val="18"/>
                <w:szCs w:val="18"/>
              </w:rPr>
            </w:pPr>
            <w:r>
              <w:rPr>
                <w:rFonts w:ascii="Arial" w:eastAsia="PMingLiU" w:hAnsi="Arial" w:hint="eastAsia"/>
                <w:b/>
                <w:bCs/>
                <w:sz w:val="18"/>
                <w:szCs w:val="18"/>
              </w:rPr>
              <w:t> </w:t>
            </w:r>
          </w:p>
        </w:tc>
        <w:tc>
          <w:tcPr>
            <w:tcW w:w="317" w:type="dxa"/>
            <w:tcBorders>
              <w:top w:val="nil"/>
              <w:left w:val="nil"/>
              <w:bottom w:val="nil"/>
              <w:right w:val="nil"/>
            </w:tcBorders>
            <w:shd w:val="clear" w:color="auto" w:fill="auto"/>
            <w:noWrap/>
            <w:vAlign w:val="bottom"/>
            <w:hideMark/>
          </w:tcPr>
          <w:p w14:paraId="3ABD2840" w14:textId="77777777" w:rsidR="008E5B84" w:rsidRDefault="008E5B84" w:rsidP="0058066A">
            <w:pPr>
              <w:spacing w:line="240" w:lineRule="auto"/>
              <w:contextualSpacing/>
              <w:rPr>
                <w:rFonts w:ascii="Arial" w:hAnsi="Arial" w:cs="Arial"/>
                <w:b/>
                <w:bCs/>
                <w:sz w:val="18"/>
                <w:szCs w:val="18"/>
              </w:rPr>
            </w:pPr>
          </w:p>
        </w:tc>
        <w:tc>
          <w:tcPr>
            <w:tcW w:w="987" w:type="dxa"/>
            <w:tcBorders>
              <w:top w:val="nil"/>
              <w:left w:val="nil"/>
              <w:bottom w:val="nil"/>
              <w:right w:val="nil"/>
            </w:tcBorders>
            <w:shd w:val="clear" w:color="auto" w:fill="auto"/>
            <w:noWrap/>
            <w:vAlign w:val="bottom"/>
            <w:hideMark/>
          </w:tcPr>
          <w:p w14:paraId="05BDF38C" w14:textId="77777777" w:rsidR="008E5B84" w:rsidRDefault="008E5B84" w:rsidP="00187B44">
            <w:pPr>
              <w:spacing w:line="240" w:lineRule="auto"/>
              <w:contextualSpacing/>
              <w:jc w:val="right"/>
              <w:rPr>
                <w:sz w:val="20"/>
                <w:szCs w:val="20"/>
              </w:rPr>
            </w:pPr>
          </w:p>
        </w:tc>
        <w:tc>
          <w:tcPr>
            <w:tcW w:w="236" w:type="dxa"/>
            <w:tcBorders>
              <w:top w:val="nil"/>
              <w:left w:val="nil"/>
              <w:bottom w:val="nil"/>
              <w:right w:val="nil"/>
            </w:tcBorders>
          </w:tcPr>
          <w:p w14:paraId="63350298" w14:textId="77777777" w:rsidR="008E5B84" w:rsidRDefault="008E5B84" w:rsidP="000E0EA2">
            <w:pPr>
              <w:spacing w:line="240" w:lineRule="auto"/>
              <w:contextualSpacing/>
              <w:jc w:val="right"/>
              <w:rPr>
                <w:sz w:val="20"/>
                <w:szCs w:val="20"/>
              </w:rPr>
            </w:pPr>
          </w:p>
        </w:tc>
        <w:tc>
          <w:tcPr>
            <w:tcW w:w="943" w:type="dxa"/>
            <w:gridSpan w:val="2"/>
            <w:tcBorders>
              <w:top w:val="nil"/>
              <w:left w:val="nil"/>
              <w:bottom w:val="nil"/>
              <w:right w:val="nil"/>
            </w:tcBorders>
            <w:shd w:val="clear" w:color="auto" w:fill="auto"/>
            <w:noWrap/>
            <w:vAlign w:val="bottom"/>
            <w:hideMark/>
          </w:tcPr>
          <w:p w14:paraId="03B17F07" w14:textId="77777777" w:rsidR="008E5B84" w:rsidRDefault="008E5B84" w:rsidP="000E0EA2">
            <w:pPr>
              <w:spacing w:line="240" w:lineRule="auto"/>
              <w:contextualSpacing/>
              <w:jc w:val="right"/>
              <w:rPr>
                <w:sz w:val="20"/>
                <w:szCs w:val="20"/>
              </w:rPr>
            </w:pPr>
          </w:p>
        </w:tc>
      </w:tr>
      <w:tr w:rsidR="008E5B84" w14:paraId="0E7A81CE" w14:textId="77777777" w:rsidTr="00590542">
        <w:trPr>
          <w:trHeight w:val="255"/>
        </w:trPr>
        <w:tc>
          <w:tcPr>
            <w:tcW w:w="4537" w:type="dxa"/>
            <w:tcBorders>
              <w:top w:val="nil"/>
              <w:left w:val="nil"/>
              <w:bottom w:val="nil"/>
              <w:right w:val="nil"/>
            </w:tcBorders>
            <w:shd w:val="clear" w:color="auto" w:fill="auto"/>
            <w:vAlign w:val="bottom"/>
            <w:hideMark/>
          </w:tcPr>
          <w:p w14:paraId="2B86AA2C" w14:textId="77777777" w:rsidR="008E5B84" w:rsidRDefault="008E5B84" w:rsidP="0058066A">
            <w:pPr>
              <w:spacing w:line="240" w:lineRule="auto"/>
              <w:contextualSpacing/>
              <w:rPr>
                <w:rFonts w:ascii="Arial" w:eastAsia="PMingLiU" w:hAnsi="Arial" w:cs="Arial"/>
                <w:b/>
                <w:bCs/>
                <w:color w:val="2F75B5"/>
                <w:sz w:val="18"/>
                <w:szCs w:val="18"/>
              </w:rPr>
            </w:pPr>
            <w:r>
              <w:rPr>
                <w:rFonts w:ascii="Arial" w:eastAsia="PMingLiU" w:hAnsi="Arial" w:hint="eastAsia"/>
                <w:b/>
                <w:bCs/>
                <w:color w:val="2F75B5"/>
                <w:sz w:val="18"/>
                <w:szCs w:val="18"/>
              </w:rPr>
              <w:t>賬面價值</w:t>
            </w:r>
          </w:p>
        </w:tc>
        <w:tc>
          <w:tcPr>
            <w:tcW w:w="317" w:type="dxa"/>
            <w:tcBorders>
              <w:top w:val="nil"/>
              <w:left w:val="nil"/>
              <w:bottom w:val="nil"/>
              <w:right w:val="nil"/>
            </w:tcBorders>
            <w:shd w:val="clear" w:color="auto" w:fill="auto"/>
            <w:noWrap/>
            <w:vAlign w:val="bottom"/>
            <w:hideMark/>
          </w:tcPr>
          <w:p w14:paraId="683B1C38" w14:textId="77777777" w:rsidR="008E5B84" w:rsidRDefault="008E5B84" w:rsidP="0058066A">
            <w:pPr>
              <w:spacing w:line="240" w:lineRule="auto"/>
              <w:contextualSpacing/>
              <w:rPr>
                <w:rFonts w:ascii="Arial" w:hAnsi="Arial" w:cs="Arial"/>
                <w:b/>
                <w:bCs/>
                <w:color w:val="2F75B5"/>
                <w:sz w:val="18"/>
                <w:szCs w:val="18"/>
              </w:rPr>
            </w:pPr>
          </w:p>
        </w:tc>
        <w:tc>
          <w:tcPr>
            <w:tcW w:w="987" w:type="dxa"/>
            <w:tcBorders>
              <w:top w:val="nil"/>
              <w:left w:val="nil"/>
              <w:bottom w:val="nil"/>
              <w:right w:val="nil"/>
            </w:tcBorders>
            <w:shd w:val="clear" w:color="auto" w:fill="auto"/>
            <w:noWrap/>
            <w:vAlign w:val="bottom"/>
            <w:hideMark/>
          </w:tcPr>
          <w:p w14:paraId="3EB68010" w14:textId="77777777" w:rsidR="008E5B84" w:rsidRDefault="008E5B84" w:rsidP="00187B44">
            <w:pPr>
              <w:spacing w:line="240" w:lineRule="auto"/>
              <w:contextualSpacing/>
              <w:jc w:val="right"/>
              <w:rPr>
                <w:sz w:val="20"/>
                <w:szCs w:val="20"/>
              </w:rPr>
            </w:pPr>
          </w:p>
        </w:tc>
        <w:tc>
          <w:tcPr>
            <w:tcW w:w="236" w:type="dxa"/>
            <w:tcBorders>
              <w:top w:val="nil"/>
              <w:left w:val="nil"/>
              <w:bottom w:val="nil"/>
              <w:right w:val="nil"/>
            </w:tcBorders>
          </w:tcPr>
          <w:p w14:paraId="7A5BB8FB" w14:textId="77777777" w:rsidR="008E5B84" w:rsidRDefault="008E5B84" w:rsidP="00187B44">
            <w:pPr>
              <w:spacing w:line="240" w:lineRule="auto"/>
              <w:contextualSpacing/>
              <w:jc w:val="right"/>
              <w:rPr>
                <w:sz w:val="20"/>
                <w:szCs w:val="20"/>
              </w:rPr>
            </w:pPr>
          </w:p>
        </w:tc>
        <w:tc>
          <w:tcPr>
            <w:tcW w:w="943" w:type="dxa"/>
            <w:gridSpan w:val="2"/>
            <w:tcBorders>
              <w:top w:val="nil"/>
              <w:left w:val="nil"/>
              <w:bottom w:val="nil"/>
              <w:right w:val="nil"/>
            </w:tcBorders>
            <w:shd w:val="clear" w:color="auto" w:fill="auto"/>
            <w:noWrap/>
            <w:vAlign w:val="bottom"/>
            <w:hideMark/>
          </w:tcPr>
          <w:p w14:paraId="2BD466DA" w14:textId="77777777" w:rsidR="008E5B84" w:rsidRDefault="008E5B84" w:rsidP="00187B44">
            <w:pPr>
              <w:spacing w:line="240" w:lineRule="auto"/>
              <w:contextualSpacing/>
              <w:jc w:val="right"/>
              <w:rPr>
                <w:sz w:val="20"/>
                <w:szCs w:val="20"/>
              </w:rPr>
            </w:pPr>
          </w:p>
        </w:tc>
      </w:tr>
      <w:tr w:rsidR="008E5B84" w14:paraId="2A56F108" w14:textId="77777777" w:rsidTr="00590542">
        <w:trPr>
          <w:trHeight w:val="255"/>
        </w:trPr>
        <w:tc>
          <w:tcPr>
            <w:tcW w:w="4537" w:type="dxa"/>
            <w:tcBorders>
              <w:top w:val="nil"/>
              <w:left w:val="nil"/>
              <w:bottom w:val="nil"/>
              <w:right w:val="nil"/>
            </w:tcBorders>
            <w:shd w:val="clear" w:color="000000" w:fill="FFFFFF"/>
            <w:noWrap/>
            <w:vAlign w:val="bottom"/>
            <w:hideMark/>
          </w:tcPr>
          <w:p w14:paraId="0CD26FB1" w14:textId="77777777" w:rsidR="008E5B84" w:rsidRDefault="008E5B84" w:rsidP="0058066A">
            <w:pPr>
              <w:spacing w:line="240" w:lineRule="auto"/>
              <w:contextualSpacing/>
              <w:rPr>
                <w:rFonts w:ascii="Arial" w:eastAsia="PMingLiU" w:hAnsi="Arial" w:cs="Arial"/>
                <w:b/>
                <w:bCs/>
                <w:color w:val="000000"/>
                <w:sz w:val="18"/>
                <w:szCs w:val="18"/>
              </w:rPr>
            </w:pPr>
            <w:r>
              <w:rPr>
                <w:rFonts w:ascii="Arial" w:eastAsia="PMingLiU" w:hAnsi="Arial" w:hint="eastAsia"/>
                <w:b/>
                <w:bCs/>
                <w:sz w:val="18"/>
                <w:szCs w:val="18"/>
              </w:rPr>
              <w:t>賬面價值，包括</w:t>
            </w:r>
            <w:r>
              <w:rPr>
                <w:rFonts w:ascii="Arial" w:eastAsia="PMingLiU" w:hAnsi="Arial" w:hint="eastAsia"/>
                <w:b/>
                <w:bCs/>
                <w:sz w:val="18"/>
                <w:szCs w:val="18"/>
              </w:rPr>
              <w:t xml:space="preserve"> AOCI</w:t>
            </w:r>
          </w:p>
        </w:tc>
        <w:tc>
          <w:tcPr>
            <w:tcW w:w="317" w:type="dxa"/>
            <w:tcBorders>
              <w:top w:val="nil"/>
              <w:left w:val="nil"/>
              <w:bottom w:val="nil"/>
              <w:right w:val="nil"/>
            </w:tcBorders>
            <w:shd w:val="clear" w:color="auto" w:fill="auto"/>
            <w:noWrap/>
            <w:vAlign w:val="bottom"/>
            <w:hideMark/>
          </w:tcPr>
          <w:p w14:paraId="00138118" w14:textId="77777777" w:rsidR="008E5B84" w:rsidRDefault="008E5B84" w:rsidP="0058066A">
            <w:pPr>
              <w:spacing w:line="240" w:lineRule="auto"/>
              <w:contextualSpacing/>
              <w:jc w:val="right"/>
              <w:rPr>
                <w:rFonts w:ascii="Arial" w:eastAsia="PMingLiU" w:hAnsi="Arial" w:cs="Arial"/>
                <w:b/>
                <w:bCs/>
                <w:color w:val="000000"/>
                <w:sz w:val="18"/>
                <w:szCs w:val="18"/>
              </w:rPr>
            </w:pPr>
            <w:r>
              <w:rPr>
                <w:rFonts w:ascii="Arial" w:eastAsia="PMingLiU" w:hAnsi="Arial" w:hint="eastAsia"/>
                <w:b/>
                <w:bCs/>
                <w:color w:val="000000"/>
                <w:sz w:val="18"/>
                <w:szCs w:val="18"/>
              </w:rPr>
              <w:t>$</w:t>
            </w:r>
          </w:p>
        </w:tc>
        <w:tc>
          <w:tcPr>
            <w:tcW w:w="987" w:type="dxa"/>
            <w:tcBorders>
              <w:top w:val="nil"/>
              <w:left w:val="nil"/>
              <w:bottom w:val="nil"/>
              <w:right w:val="nil"/>
            </w:tcBorders>
            <w:shd w:val="clear" w:color="auto" w:fill="auto"/>
            <w:noWrap/>
            <w:vAlign w:val="bottom"/>
            <w:hideMark/>
          </w:tcPr>
          <w:p w14:paraId="074C1425" w14:textId="0D65FF78" w:rsidR="008E5B84" w:rsidRDefault="008E5B84" w:rsidP="000E0EA2">
            <w:pPr>
              <w:spacing w:line="240" w:lineRule="auto"/>
              <w:contextualSpacing/>
              <w:jc w:val="right"/>
              <w:rPr>
                <w:rFonts w:ascii="Arial" w:eastAsia="PMingLiU" w:hAnsi="Arial" w:cs="Arial"/>
                <w:b/>
                <w:bCs/>
                <w:color w:val="000000"/>
                <w:sz w:val="18"/>
                <w:szCs w:val="18"/>
              </w:rPr>
            </w:pPr>
            <w:r>
              <w:rPr>
                <w:rFonts w:ascii="Arial" w:eastAsia="PMingLiU" w:hAnsi="Arial" w:hint="eastAsia"/>
                <w:b/>
                <w:bCs/>
                <w:color w:val="000000"/>
                <w:sz w:val="18"/>
                <w:szCs w:val="18"/>
              </w:rPr>
              <w:t xml:space="preserve">               0.02</w:t>
            </w:r>
          </w:p>
        </w:tc>
        <w:tc>
          <w:tcPr>
            <w:tcW w:w="236" w:type="dxa"/>
            <w:tcBorders>
              <w:top w:val="nil"/>
              <w:left w:val="nil"/>
              <w:bottom w:val="nil"/>
              <w:right w:val="nil"/>
            </w:tcBorders>
          </w:tcPr>
          <w:p w14:paraId="0CAD792E" w14:textId="77777777" w:rsidR="008E5B84" w:rsidRDefault="008E5B84" w:rsidP="000E0EA2">
            <w:pPr>
              <w:spacing w:line="240" w:lineRule="auto"/>
              <w:contextualSpacing/>
              <w:jc w:val="right"/>
              <w:rPr>
                <w:rFonts w:ascii="Arial" w:hAnsi="Arial" w:cs="Arial"/>
                <w:b/>
                <w:bCs/>
                <w:color w:val="000000"/>
                <w:sz w:val="18"/>
                <w:szCs w:val="18"/>
              </w:rPr>
            </w:pPr>
          </w:p>
        </w:tc>
        <w:tc>
          <w:tcPr>
            <w:tcW w:w="943" w:type="dxa"/>
            <w:gridSpan w:val="2"/>
            <w:tcBorders>
              <w:top w:val="nil"/>
              <w:left w:val="nil"/>
              <w:bottom w:val="nil"/>
              <w:right w:val="nil"/>
            </w:tcBorders>
            <w:shd w:val="clear" w:color="auto" w:fill="auto"/>
            <w:noWrap/>
            <w:vAlign w:val="bottom"/>
            <w:hideMark/>
          </w:tcPr>
          <w:p w14:paraId="760EA182" w14:textId="1D065691" w:rsidR="008E5B84" w:rsidRDefault="008E5B84" w:rsidP="000E0EA2">
            <w:pPr>
              <w:spacing w:line="240" w:lineRule="auto"/>
              <w:contextualSpacing/>
              <w:jc w:val="right"/>
              <w:rPr>
                <w:rFonts w:ascii="Arial" w:eastAsia="PMingLiU" w:hAnsi="Arial" w:cs="Arial"/>
                <w:b/>
                <w:bCs/>
                <w:color w:val="000000"/>
                <w:sz w:val="18"/>
                <w:szCs w:val="18"/>
              </w:rPr>
            </w:pPr>
            <w:r>
              <w:rPr>
                <w:rFonts w:ascii="Arial" w:eastAsia="PMingLiU" w:hAnsi="Arial" w:hint="eastAsia"/>
                <w:b/>
                <w:bCs/>
                <w:color w:val="000000"/>
                <w:sz w:val="18"/>
                <w:szCs w:val="18"/>
              </w:rPr>
              <w:t xml:space="preserve">              6.41 </w:t>
            </w:r>
          </w:p>
        </w:tc>
      </w:tr>
      <w:tr w:rsidR="00902000" w14:paraId="64663092" w14:textId="77777777" w:rsidTr="00590542">
        <w:trPr>
          <w:trHeight w:val="255"/>
        </w:trPr>
        <w:tc>
          <w:tcPr>
            <w:tcW w:w="4537" w:type="dxa"/>
            <w:tcBorders>
              <w:top w:val="nil"/>
              <w:left w:val="nil"/>
              <w:bottom w:val="nil"/>
              <w:right w:val="nil"/>
            </w:tcBorders>
            <w:shd w:val="clear" w:color="000000" w:fill="FFFFFF"/>
            <w:noWrap/>
            <w:vAlign w:val="bottom"/>
          </w:tcPr>
          <w:p w14:paraId="5B94F157" w14:textId="258A135A" w:rsidR="00902000" w:rsidRDefault="00902000" w:rsidP="0058066A">
            <w:pPr>
              <w:spacing w:line="240" w:lineRule="auto"/>
              <w:contextualSpacing/>
              <w:rPr>
                <w:rFonts w:ascii="Arial" w:eastAsia="PMingLiU" w:hAnsi="Arial" w:cs="Arial"/>
                <w:sz w:val="18"/>
                <w:szCs w:val="18"/>
              </w:rPr>
            </w:pPr>
            <w:r>
              <w:rPr>
                <w:rFonts w:ascii="Arial" w:eastAsia="PMingLiU" w:hAnsi="Arial" w:hint="eastAsia"/>
                <w:sz w:val="18"/>
                <w:szCs w:val="18"/>
              </w:rPr>
              <w:t>較少的：</w:t>
            </w:r>
          </w:p>
        </w:tc>
        <w:tc>
          <w:tcPr>
            <w:tcW w:w="317" w:type="dxa"/>
            <w:tcBorders>
              <w:top w:val="nil"/>
              <w:left w:val="nil"/>
              <w:bottom w:val="nil"/>
              <w:right w:val="nil"/>
            </w:tcBorders>
            <w:shd w:val="clear" w:color="auto" w:fill="auto"/>
            <w:vAlign w:val="bottom"/>
          </w:tcPr>
          <w:p w14:paraId="7BFB8A71" w14:textId="77777777" w:rsidR="00902000" w:rsidRDefault="00902000" w:rsidP="0058066A">
            <w:pPr>
              <w:spacing w:line="240" w:lineRule="auto"/>
              <w:contextualSpacing/>
              <w:rPr>
                <w:rFonts w:ascii="Arial" w:hAnsi="Arial" w:cs="Arial"/>
                <w:color w:val="000000"/>
                <w:sz w:val="18"/>
                <w:szCs w:val="18"/>
              </w:rPr>
            </w:pPr>
          </w:p>
        </w:tc>
        <w:tc>
          <w:tcPr>
            <w:tcW w:w="987" w:type="dxa"/>
            <w:tcBorders>
              <w:top w:val="nil"/>
              <w:left w:val="nil"/>
              <w:bottom w:val="nil"/>
              <w:right w:val="nil"/>
            </w:tcBorders>
            <w:shd w:val="clear" w:color="auto" w:fill="auto"/>
            <w:noWrap/>
            <w:vAlign w:val="bottom"/>
          </w:tcPr>
          <w:p w14:paraId="7BFB0A35" w14:textId="77777777" w:rsidR="00902000" w:rsidRDefault="00902000" w:rsidP="00187B44">
            <w:pPr>
              <w:spacing w:line="240" w:lineRule="auto"/>
              <w:contextualSpacing/>
              <w:jc w:val="right"/>
              <w:rPr>
                <w:rFonts w:ascii="Arial" w:hAnsi="Arial" w:cs="Arial"/>
                <w:color w:val="000000"/>
                <w:sz w:val="18"/>
                <w:szCs w:val="18"/>
              </w:rPr>
            </w:pPr>
          </w:p>
        </w:tc>
        <w:tc>
          <w:tcPr>
            <w:tcW w:w="236" w:type="dxa"/>
            <w:tcBorders>
              <w:top w:val="nil"/>
              <w:left w:val="nil"/>
              <w:bottom w:val="nil"/>
              <w:right w:val="nil"/>
            </w:tcBorders>
          </w:tcPr>
          <w:p w14:paraId="68C38884" w14:textId="77777777" w:rsidR="00902000" w:rsidRDefault="00902000" w:rsidP="00187B44">
            <w:pPr>
              <w:spacing w:line="240" w:lineRule="auto"/>
              <w:contextualSpacing/>
              <w:jc w:val="right"/>
              <w:rPr>
                <w:rFonts w:ascii="Arial" w:hAnsi="Arial" w:cs="Arial"/>
                <w:color w:val="000000"/>
                <w:sz w:val="18"/>
                <w:szCs w:val="18"/>
              </w:rPr>
            </w:pPr>
          </w:p>
        </w:tc>
        <w:tc>
          <w:tcPr>
            <w:tcW w:w="943" w:type="dxa"/>
            <w:gridSpan w:val="2"/>
            <w:tcBorders>
              <w:top w:val="nil"/>
              <w:left w:val="nil"/>
              <w:bottom w:val="nil"/>
              <w:right w:val="nil"/>
            </w:tcBorders>
            <w:shd w:val="clear" w:color="auto" w:fill="auto"/>
            <w:noWrap/>
            <w:vAlign w:val="bottom"/>
          </w:tcPr>
          <w:p w14:paraId="30591422" w14:textId="77777777" w:rsidR="00902000" w:rsidRDefault="00902000" w:rsidP="00187B44">
            <w:pPr>
              <w:spacing w:line="240" w:lineRule="auto"/>
              <w:contextualSpacing/>
              <w:jc w:val="right"/>
              <w:rPr>
                <w:rFonts w:ascii="Arial" w:hAnsi="Arial" w:cs="Arial"/>
                <w:color w:val="000000"/>
                <w:sz w:val="18"/>
                <w:szCs w:val="18"/>
              </w:rPr>
            </w:pPr>
          </w:p>
        </w:tc>
      </w:tr>
      <w:tr w:rsidR="008E5B84" w14:paraId="2D5C3DEB" w14:textId="77777777" w:rsidTr="00590542">
        <w:trPr>
          <w:trHeight w:val="255"/>
        </w:trPr>
        <w:tc>
          <w:tcPr>
            <w:tcW w:w="4537" w:type="dxa"/>
            <w:tcBorders>
              <w:top w:val="nil"/>
              <w:left w:val="nil"/>
              <w:bottom w:val="nil"/>
              <w:right w:val="nil"/>
            </w:tcBorders>
            <w:shd w:val="clear" w:color="000000" w:fill="FFFFFF"/>
            <w:noWrap/>
            <w:vAlign w:val="bottom"/>
            <w:hideMark/>
          </w:tcPr>
          <w:p w14:paraId="64698A75" w14:textId="4CFADA76" w:rsidR="008E5B84" w:rsidRDefault="00D60C63" w:rsidP="0058066A">
            <w:pPr>
              <w:spacing w:line="240" w:lineRule="auto"/>
              <w:contextualSpacing/>
              <w:rPr>
                <w:rFonts w:ascii="Arial" w:eastAsia="PMingLiU" w:hAnsi="Arial" w:cs="Arial"/>
                <w:color w:val="000000"/>
                <w:sz w:val="18"/>
                <w:szCs w:val="18"/>
              </w:rPr>
            </w:pPr>
            <w:r>
              <w:rPr>
                <w:rFonts w:ascii="Arial" w:eastAsia="PMingLiU" w:hAnsi="Arial" w:hint="eastAsia"/>
                <w:sz w:val="18"/>
                <w:szCs w:val="18"/>
              </w:rPr>
              <w:t xml:space="preserve">     AOCI</w:t>
            </w:r>
            <w:r>
              <w:rPr>
                <w:rFonts w:ascii="Arial" w:eastAsia="PMingLiU" w:hAnsi="Arial" w:hint="eastAsia"/>
                <w:sz w:val="18"/>
                <w:szCs w:val="18"/>
              </w:rPr>
              <w:t>的每股影響</w:t>
            </w:r>
          </w:p>
        </w:tc>
        <w:tc>
          <w:tcPr>
            <w:tcW w:w="317" w:type="dxa"/>
            <w:tcBorders>
              <w:top w:val="nil"/>
              <w:left w:val="nil"/>
              <w:bottom w:val="nil"/>
              <w:right w:val="nil"/>
            </w:tcBorders>
            <w:shd w:val="clear" w:color="auto" w:fill="auto"/>
            <w:vAlign w:val="bottom"/>
            <w:hideMark/>
          </w:tcPr>
          <w:p w14:paraId="3FF1A071" w14:textId="77777777" w:rsidR="008E5B84" w:rsidRDefault="008E5B84" w:rsidP="0058066A">
            <w:pPr>
              <w:spacing w:line="240" w:lineRule="auto"/>
              <w:contextualSpacing/>
              <w:rPr>
                <w:rFonts w:ascii="Arial" w:hAnsi="Arial" w:cs="Arial"/>
                <w:color w:val="000000"/>
                <w:sz w:val="18"/>
                <w:szCs w:val="18"/>
              </w:rPr>
            </w:pPr>
          </w:p>
        </w:tc>
        <w:tc>
          <w:tcPr>
            <w:tcW w:w="987" w:type="dxa"/>
            <w:tcBorders>
              <w:top w:val="nil"/>
              <w:left w:val="nil"/>
              <w:bottom w:val="nil"/>
              <w:right w:val="nil"/>
            </w:tcBorders>
            <w:shd w:val="clear" w:color="auto" w:fill="auto"/>
            <w:noWrap/>
            <w:vAlign w:val="bottom"/>
            <w:hideMark/>
          </w:tcPr>
          <w:p w14:paraId="33A4E525" w14:textId="0ADAE2BA" w:rsidR="008E5B84" w:rsidRDefault="008E5B84" w:rsidP="004803F0">
            <w:pPr>
              <w:spacing w:line="240" w:lineRule="auto"/>
              <w:contextualSpacing/>
              <w:jc w:val="right"/>
              <w:rPr>
                <w:rFonts w:ascii="Arial" w:eastAsia="PMingLiU" w:hAnsi="Arial" w:cs="Arial"/>
                <w:color w:val="000000"/>
                <w:sz w:val="18"/>
                <w:szCs w:val="18"/>
              </w:rPr>
            </w:pPr>
            <w:r>
              <w:rPr>
                <w:rFonts w:ascii="Arial" w:eastAsia="PMingLiU" w:hAnsi="Arial" w:hint="eastAsia"/>
                <w:color w:val="000000"/>
                <w:sz w:val="18"/>
                <w:szCs w:val="18"/>
              </w:rPr>
              <w:t xml:space="preserve">      </w:t>
            </w:r>
            <w:r w:rsidR="004803F0">
              <w:rPr>
                <w:rFonts w:ascii="Arial" w:eastAsia="PMingLiU" w:hAnsi="Arial" w:hint="eastAsia"/>
                <w:color w:val="000000"/>
                <w:sz w:val="18"/>
                <w:szCs w:val="18"/>
              </w:rPr>
              <w:t>(</w:t>
            </w:r>
            <w:r>
              <w:rPr>
                <w:rFonts w:ascii="Arial" w:eastAsia="PMingLiU" w:hAnsi="Arial" w:hint="eastAsia"/>
                <w:color w:val="000000"/>
                <w:sz w:val="18"/>
                <w:szCs w:val="18"/>
              </w:rPr>
              <w:t>3.92</w:t>
            </w:r>
            <w:r w:rsidR="004803F0">
              <w:rPr>
                <w:rFonts w:ascii="Arial" w:eastAsia="PMingLiU" w:hAnsi="Arial" w:hint="eastAsia"/>
                <w:color w:val="000000"/>
                <w:sz w:val="18"/>
                <w:szCs w:val="18"/>
              </w:rPr>
              <w:t>)</w:t>
            </w:r>
          </w:p>
        </w:tc>
        <w:tc>
          <w:tcPr>
            <w:tcW w:w="236" w:type="dxa"/>
            <w:tcBorders>
              <w:top w:val="nil"/>
              <w:left w:val="nil"/>
              <w:bottom w:val="nil"/>
              <w:right w:val="nil"/>
            </w:tcBorders>
          </w:tcPr>
          <w:p w14:paraId="57F78AF7" w14:textId="77777777" w:rsidR="008E5B84" w:rsidRDefault="008E5B84" w:rsidP="00187B44">
            <w:pPr>
              <w:spacing w:line="240" w:lineRule="auto"/>
              <w:contextualSpacing/>
              <w:jc w:val="right"/>
              <w:rPr>
                <w:rFonts w:ascii="Arial" w:hAnsi="Arial" w:cs="Arial"/>
                <w:color w:val="000000"/>
                <w:sz w:val="18"/>
                <w:szCs w:val="18"/>
              </w:rPr>
            </w:pPr>
          </w:p>
        </w:tc>
        <w:tc>
          <w:tcPr>
            <w:tcW w:w="943" w:type="dxa"/>
            <w:gridSpan w:val="2"/>
            <w:tcBorders>
              <w:top w:val="nil"/>
              <w:left w:val="nil"/>
              <w:bottom w:val="nil"/>
              <w:right w:val="nil"/>
            </w:tcBorders>
            <w:shd w:val="clear" w:color="auto" w:fill="auto"/>
            <w:noWrap/>
            <w:vAlign w:val="bottom"/>
            <w:hideMark/>
          </w:tcPr>
          <w:p w14:paraId="4E9B0D5B" w14:textId="1A23B21F" w:rsidR="008E5B84" w:rsidRDefault="008E5B84" w:rsidP="00187B44">
            <w:pPr>
              <w:spacing w:line="240" w:lineRule="auto"/>
              <w:contextualSpacing/>
              <w:jc w:val="right"/>
              <w:rPr>
                <w:rFonts w:ascii="Arial" w:eastAsia="PMingLiU" w:hAnsi="Arial" w:cs="Arial"/>
                <w:color w:val="000000"/>
                <w:sz w:val="18"/>
                <w:szCs w:val="18"/>
              </w:rPr>
            </w:pPr>
            <w:r>
              <w:rPr>
                <w:rFonts w:ascii="Arial" w:eastAsia="PMingLiU" w:hAnsi="Arial" w:hint="eastAsia"/>
                <w:color w:val="000000"/>
                <w:sz w:val="18"/>
                <w:szCs w:val="18"/>
              </w:rPr>
              <w:t xml:space="preserve">       2.35 </w:t>
            </w:r>
          </w:p>
        </w:tc>
      </w:tr>
      <w:tr w:rsidR="008E5B84" w14:paraId="2FAFDA0C" w14:textId="77777777" w:rsidTr="00590542">
        <w:trPr>
          <w:trHeight w:val="255"/>
        </w:trPr>
        <w:tc>
          <w:tcPr>
            <w:tcW w:w="4537" w:type="dxa"/>
            <w:tcBorders>
              <w:top w:val="nil"/>
              <w:left w:val="nil"/>
              <w:bottom w:val="nil"/>
              <w:right w:val="nil"/>
            </w:tcBorders>
            <w:shd w:val="clear" w:color="000000" w:fill="FFFFFF"/>
            <w:noWrap/>
            <w:vAlign w:val="bottom"/>
            <w:hideMark/>
          </w:tcPr>
          <w:p w14:paraId="46C01C63" w14:textId="6A01A488" w:rsidR="008E5B84" w:rsidRDefault="004803F0" w:rsidP="0058066A">
            <w:pPr>
              <w:spacing w:line="240" w:lineRule="auto"/>
              <w:contextualSpacing/>
              <w:rPr>
                <w:rFonts w:ascii="Arial" w:eastAsia="PMingLiU" w:hAnsi="Arial" w:cs="Arial"/>
                <w:b/>
                <w:bCs/>
                <w:color w:val="000000"/>
                <w:sz w:val="18"/>
                <w:szCs w:val="18"/>
              </w:rPr>
            </w:pPr>
            <w:r>
              <w:rPr>
                <w:rFonts w:ascii="Arial" w:eastAsia="PMingLiU" w:hAnsi="Arial" w:hint="eastAsia"/>
                <w:b/>
                <w:bCs/>
                <w:sz w:val="18"/>
                <w:szCs w:val="18"/>
              </w:rPr>
              <w:t>賬</w:t>
            </w:r>
            <w:r w:rsidR="008E5B84">
              <w:rPr>
                <w:rFonts w:ascii="Arial" w:eastAsia="PMingLiU" w:hAnsi="Arial" w:hint="eastAsia"/>
                <w:b/>
                <w:bCs/>
                <w:sz w:val="18"/>
                <w:szCs w:val="18"/>
              </w:rPr>
              <w:t>面價值，不包括</w:t>
            </w:r>
            <w:r w:rsidR="008E5B84">
              <w:rPr>
                <w:rFonts w:ascii="Arial" w:eastAsia="PMingLiU" w:hAnsi="Arial" w:hint="eastAsia"/>
                <w:b/>
                <w:bCs/>
                <w:sz w:val="18"/>
                <w:szCs w:val="18"/>
              </w:rPr>
              <w:t xml:space="preserve"> AOCI</w:t>
            </w:r>
          </w:p>
        </w:tc>
        <w:tc>
          <w:tcPr>
            <w:tcW w:w="317" w:type="dxa"/>
            <w:tcBorders>
              <w:top w:val="single" w:sz="4" w:space="0" w:color="auto"/>
              <w:left w:val="nil"/>
              <w:bottom w:val="double" w:sz="6" w:space="0" w:color="auto"/>
              <w:right w:val="nil"/>
            </w:tcBorders>
            <w:shd w:val="clear" w:color="auto" w:fill="auto"/>
            <w:noWrap/>
            <w:vAlign w:val="bottom"/>
            <w:hideMark/>
          </w:tcPr>
          <w:p w14:paraId="530DEEC3" w14:textId="77777777" w:rsidR="008E5B84" w:rsidRDefault="008E5B84" w:rsidP="0058066A">
            <w:pPr>
              <w:spacing w:line="240" w:lineRule="auto"/>
              <w:contextualSpacing/>
              <w:rPr>
                <w:rFonts w:ascii="Arial" w:eastAsia="PMingLiU" w:hAnsi="Arial" w:cs="Arial"/>
                <w:b/>
                <w:bCs/>
                <w:sz w:val="18"/>
                <w:szCs w:val="18"/>
              </w:rPr>
            </w:pPr>
            <w:r>
              <w:rPr>
                <w:rFonts w:ascii="Arial" w:eastAsia="PMingLiU" w:hAnsi="Arial" w:hint="eastAsia"/>
                <w:b/>
                <w:bCs/>
                <w:sz w:val="18"/>
                <w:szCs w:val="18"/>
              </w:rPr>
              <w:t xml:space="preserve">$  </w:t>
            </w:r>
          </w:p>
        </w:tc>
        <w:tc>
          <w:tcPr>
            <w:tcW w:w="987" w:type="dxa"/>
            <w:tcBorders>
              <w:top w:val="single" w:sz="4" w:space="0" w:color="auto"/>
              <w:left w:val="nil"/>
              <w:bottom w:val="double" w:sz="6" w:space="0" w:color="auto"/>
              <w:right w:val="nil"/>
            </w:tcBorders>
            <w:shd w:val="clear" w:color="auto" w:fill="auto"/>
            <w:noWrap/>
            <w:vAlign w:val="bottom"/>
            <w:hideMark/>
          </w:tcPr>
          <w:p w14:paraId="4745DDF4" w14:textId="3185055C" w:rsidR="008E5B84" w:rsidRDefault="008E5B84" w:rsidP="000E0EA2">
            <w:pPr>
              <w:spacing w:line="240" w:lineRule="auto"/>
              <w:contextualSpacing/>
              <w:jc w:val="right"/>
              <w:rPr>
                <w:rFonts w:ascii="Arial" w:eastAsia="PMingLiU" w:hAnsi="Arial" w:cs="Arial"/>
                <w:b/>
                <w:bCs/>
                <w:sz w:val="18"/>
                <w:szCs w:val="18"/>
              </w:rPr>
            </w:pPr>
            <w:r>
              <w:rPr>
                <w:rFonts w:ascii="Arial" w:eastAsia="PMingLiU" w:hAnsi="Arial" w:hint="eastAsia"/>
                <w:b/>
                <w:bCs/>
                <w:color w:val="000000"/>
                <w:sz w:val="18"/>
                <w:szCs w:val="18"/>
              </w:rPr>
              <w:t xml:space="preserve">             3.94 </w:t>
            </w:r>
          </w:p>
        </w:tc>
        <w:tc>
          <w:tcPr>
            <w:tcW w:w="236" w:type="dxa"/>
            <w:tcBorders>
              <w:left w:val="nil"/>
              <w:right w:val="nil"/>
            </w:tcBorders>
          </w:tcPr>
          <w:p w14:paraId="5E60B9EC" w14:textId="77777777" w:rsidR="008E5B84" w:rsidRDefault="008E5B84" w:rsidP="00187B44">
            <w:pPr>
              <w:spacing w:line="240" w:lineRule="auto"/>
              <w:contextualSpacing/>
              <w:jc w:val="right"/>
              <w:rPr>
                <w:rFonts w:ascii="Arial" w:hAnsi="Arial" w:cs="Arial"/>
                <w:b/>
                <w:bCs/>
                <w:sz w:val="18"/>
                <w:szCs w:val="18"/>
              </w:rPr>
            </w:pPr>
          </w:p>
        </w:tc>
        <w:tc>
          <w:tcPr>
            <w:tcW w:w="943" w:type="dxa"/>
            <w:gridSpan w:val="2"/>
            <w:tcBorders>
              <w:top w:val="single" w:sz="4" w:space="0" w:color="auto"/>
              <w:left w:val="nil"/>
              <w:bottom w:val="double" w:sz="6" w:space="0" w:color="auto"/>
              <w:right w:val="nil"/>
            </w:tcBorders>
            <w:shd w:val="clear" w:color="auto" w:fill="auto"/>
            <w:noWrap/>
            <w:vAlign w:val="bottom"/>
            <w:hideMark/>
          </w:tcPr>
          <w:p w14:paraId="3FC97C3C" w14:textId="7856B545" w:rsidR="008E5B84" w:rsidRDefault="008E5B84" w:rsidP="00187B44">
            <w:pPr>
              <w:spacing w:line="240" w:lineRule="auto"/>
              <w:contextualSpacing/>
              <w:jc w:val="right"/>
              <w:rPr>
                <w:rFonts w:ascii="Arial" w:eastAsia="PMingLiU" w:hAnsi="Arial" w:cs="Arial"/>
                <w:b/>
                <w:bCs/>
                <w:sz w:val="18"/>
                <w:szCs w:val="18"/>
              </w:rPr>
            </w:pPr>
            <w:r>
              <w:rPr>
                <w:rFonts w:ascii="Arial" w:eastAsia="PMingLiU" w:hAnsi="Arial" w:hint="eastAsia"/>
                <w:b/>
                <w:bCs/>
                <w:color w:val="000000"/>
                <w:sz w:val="18"/>
                <w:szCs w:val="18"/>
              </w:rPr>
              <w:t xml:space="preserve">       4.06 </w:t>
            </w:r>
          </w:p>
        </w:tc>
      </w:tr>
    </w:tbl>
    <w:p w14:paraId="14467F07" w14:textId="6F83F8BF" w:rsidR="0004028D" w:rsidRDefault="0004028D" w:rsidP="00C82647">
      <w:pPr>
        <w:pStyle w:val="NoSpacing"/>
        <w:rPr>
          <w:b/>
          <w:bCs/>
        </w:rPr>
      </w:pPr>
    </w:p>
    <w:p w14:paraId="34EAAE7C" w14:textId="5EE0FBC7" w:rsidR="0004028D" w:rsidRPr="00175F2E" w:rsidRDefault="0004028D" w:rsidP="00C82647">
      <w:pPr>
        <w:pStyle w:val="NoSpacing"/>
        <w:rPr>
          <w:b/>
          <w:bCs/>
        </w:rPr>
      </w:pPr>
    </w:p>
    <w:p w14:paraId="2A5806E1" w14:textId="7D8E1595" w:rsidR="00852C32" w:rsidRDefault="00852C32" w:rsidP="00C82647">
      <w:pPr>
        <w:pStyle w:val="NoSpacing"/>
      </w:pPr>
    </w:p>
    <w:p w14:paraId="58027BEB" w14:textId="77777777" w:rsidR="007F5D4D" w:rsidRPr="002D27A8" w:rsidRDefault="007F5D4D" w:rsidP="007F5D4D">
      <w:pPr>
        <w:pStyle w:val="NoSpacing"/>
        <w:rPr>
          <w:b/>
          <w:bCs/>
        </w:rPr>
      </w:pPr>
      <w:r>
        <w:rPr>
          <w:rFonts w:hint="eastAsia"/>
          <w:b/>
          <w:bCs/>
        </w:rPr>
        <w:t>前瞻性陳述</w:t>
      </w:r>
    </w:p>
    <w:p w14:paraId="7258DC4E" w14:textId="77777777" w:rsidR="007F5D4D" w:rsidRDefault="007F5D4D" w:rsidP="007F5D4D">
      <w:pPr>
        <w:pStyle w:val="NoSpacing"/>
      </w:pPr>
      <w:r>
        <w:rPr>
          <w:rFonts w:hint="eastAsia"/>
        </w:rPr>
        <w:t>本新聞稿中的資訊包含《</w:t>
      </w:r>
      <w:r>
        <w:rPr>
          <w:rFonts w:hint="eastAsia"/>
        </w:rPr>
        <w:t xml:space="preserve"> 1995</w:t>
      </w:r>
      <w:r>
        <w:rPr>
          <w:rFonts w:hint="eastAsia"/>
        </w:rPr>
        <w:t>年私人證券訴訟改革法案》所定義的前瞻性陳述，可以使用“可以”、“將要”、“期望”、“預期”、“相信“、”計劃“、”打算”、“繼續”等或類似詞標識。此類前瞻性聲明可能涉及公司對</w:t>
      </w:r>
      <w:r>
        <w:rPr>
          <w:rFonts w:hint="eastAsia"/>
        </w:rPr>
        <w:t>COVID-19</w:t>
      </w:r>
      <w:r>
        <w:rPr>
          <w:rFonts w:hint="eastAsia"/>
        </w:rPr>
        <w:t>疫情的影響、經營業績、運營策略、資本支出、技術變革、監管措施以及其他財務和運營措施的預期。此外，除歷史事實陳述以外，所有涉及公司預期或預計未來會發生或可能發生的活動的陳述均為前瞻性陳述。此類聲明並非對未來業績的保證，並且涉及某些風險、不確定因素及假設，這些因素難以預測，其中許多超出了我們的控制</w:t>
      </w:r>
      <w:r>
        <w:rPr>
          <w:rFonts w:hint="eastAsia"/>
        </w:rPr>
        <w:lastRenderedPageBreak/>
        <w:t>範圍。因此，實際結果可能與此類前瞻性陳述中表達或暗示的事項存在重大差異。我們前瞻性陳述中涉及的風險，不確定性和假設包括但不限於我們最近提交的年度報告</w:t>
      </w:r>
      <w:r>
        <w:rPr>
          <w:rFonts w:hint="eastAsia"/>
        </w:rPr>
        <w:t>10-K</w:t>
      </w:r>
      <w:r>
        <w:rPr>
          <w:rFonts w:hint="eastAsia"/>
        </w:rPr>
        <w:t>，季度報告</w:t>
      </w:r>
      <w:r>
        <w:rPr>
          <w:rFonts w:hint="eastAsia"/>
        </w:rPr>
        <w:t>10-Q</w:t>
      </w:r>
      <w:r>
        <w:rPr>
          <w:rFonts w:hint="eastAsia"/>
        </w:rPr>
        <w:t>中提及的風險因素。由於新資訊、未來事件或公司期望的變化，本公司無任何義務更新本新聞稿中包含的任何前瞻性陳述。因此，請勿過分依賴上述前瞻性陳述。本公司亦無義務對投資團隊發布的報告中可能包含的資訊進行評論或糾正。</w:t>
      </w:r>
    </w:p>
    <w:p w14:paraId="4EDEE4F5" w14:textId="41F894BA" w:rsidR="007F5D4D" w:rsidRDefault="007F5D4D" w:rsidP="00C82647">
      <w:pPr>
        <w:pStyle w:val="NoSpacing"/>
      </w:pPr>
    </w:p>
    <w:p w14:paraId="4021AA16" w14:textId="77777777" w:rsidR="007F5D4D" w:rsidRDefault="007F5D4D" w:rsidP="007F5D4D">
      <w:pPr>
        <w:pStyle w:val="NoSpacing"/>
        <w:keepNext/>
        <w:rPr>
          <w:b/>
          <w:bCs/>
        </w:rPr>
      </w:pPr>
      <w:r>
        <w:rPr>
          <w:rFonts w:hint="eastAsia"/>
          <w:b/>
          <w:bCs/>
        </w:rPr>
        <w:t>聯繫資訊</w:t>
      </w:r>
    </w:p>
    <w:p w14:paraId="6686E7AE" w14:textId="77777777" w:rsidR="007F5D4D" w:rsidRPr="002D27A8" w:rsidRDefault="007F5D4D" w:rsidP="007F5D4D">
      <w:pPr>
        <w:pStyle w:val="NoSpacing"/>
        <w:keepNext/>
        <w:rPr>
          <w:b/>
          <w:bCs/>
        </w:rPr>
      </w:pPr>
    </w:p>
    <w:p w14:paraId="6072E84F" w14:textId="77777777" w:rsidR="007F5D4D" w:rsidRPr="001A4F0B" w:rsidRDefault="007F5D4D" w:rsidP="007F5D4D">
      <w:pPr>
        <w:pStyle w:val="NoSpacing"/>
        <w:keepNext/>
        <w:rPr>
          <w:b/>
          <w:bCs/>
        </w:rPr>
      </w:pPr>
      <w:r>
        <w:rPr>
          <w:rFonts w:hint="eastAsia"/>
          <w:b/>
          <w:bCs/>
        </w:rPr>
        <w:t>投資者</w:t>
      </w:r>
    </w:p>
    <w:p w14:paraId="33470055" w14:textId="77777777" w:rsidR="007F5D4D" w:rsidRDefault="007F5D4D" w:rsidP="007F5D4D">
      <w:pPr>
        <w:pStyle w:val="NoSpacing"/>
      </w:pPr>
      <w:r>
        <w:rPr>
          <w:rFonts w:hint="eastAsia"/>
        </w:rPr>
        <w:t xml:space="preserve">Matthew </w:t>
      </w:r>
      <w:proofErr w:type="spellStart"/>
      <w:r>
        <w:rPr>
          <w:rFonts w:hint="eastAsia"/>
        </w:rPr>
        <w:t>Hausch</w:t>
      </w:r>
      <w:proofErr w:type="spellEnd"/>
      <w:r>
        <w:rPr>
          <w:rFonts w:hint="eastAsia"/>
        </w:rPr>
        <w:t>和</w:t>
      </w:r>
      <w:r>
        <w:rPr>
          <w:rFonts w:hint="eastAsia"/>
        </w:rPr>
        <w:t>Matt Glover</w:t>
      </w:r>
    </w:p>
    <w:p w14:paraId="45E48A5B" w14:textId="77777777" w:rsidR="007F5D4D" w:rsidRDefault="007F5D4D" w:rsidP="007F5D4D">
      <w:pPr>
        <w:pStyle w:val="NoSpacing"/>
      </w:pPr>
      <w:r>
        <w:rPr>
          <w:rFonts w:hint="eastAsia"/>
        </w:rPr>
        <w:t>Gateway Group, Inc.</w:t>
      </w:r>
    </w:p>
    <w:p w14:paraId="6B9C97DA" w14:textId="77777777" w:rsidR="007F5D4D" w:rsidRDefault="007F5D4D" w:rsidP="007F5D4D">
      <w:pPr>
        <w:pStyle w:val="NoSpacing"/>
      </w:pPr>
      <w:r>
        <w:rPr>
          <w:rFonts w:hint="eastAsia"/>
        </w:rPr>
        <w:t>(949) 574-3860</w:t>
      </w:r>
    </w:p>
    <w:p w14:paraId="717A7B61" w14:textId="77777777" w:rsidR="007F5D4D" w:rsidRDefault="005F5759" w:rsidP="007F5D4D">
      <w:pPr>
        <w:pStyle w:val="NoSpacing"/>
      </w:pPr>
      <w:hyperlink r:id="rId15" w:history="1">
        <w:r w:rsidR="009B5929">
          <w:rPr>
            <w:rStyle w:val="Hyperlink"/>
            <w:rFonts w:hint="eastAsia"/>
          </w:rPr>
          <w:t>CIA@gatewayir.com</w:t>
        </w:r>
      </w:hyperlink>
    </w:p>
    <w:p w14:paraId="48F94967" w14:textId="1750272D" w:rsidR="005B781E" w:rsidRDefault="005B781E" w:rsidP="00C82647">
      <w:pPr>
        <w:pStyle w:val="NoSpacing"/>
      </w:pPr>
    </w:p>
    <w:sectPr w:rsidR="005B781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48CF" w14:textId="77777777" w:rsidR="005B334E" w:rsidRDefault="005B334E" w:rsidP="00086A83">
      <w:pPr>
        <w:spacing w:after="0" w:line="240" w:lineRule="auto"/>
      </w:pPr>
      <w:r>
        <w:separator/>
      </w:r>
    </w:p>
  </w:endnote>
  <w:endnote w:type="continuationSeparator" w:id="0">
    <w:p w14:paraId="37331A70" w14:textId="77777777" w:rsidR="005B334E" w:rsidRDefault="005B334E" w:rsidP="00086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C6F6" w14:textId="77777777" w:rsidR="005B334E" w:rsidRDefault="005B334E" w:rsidP="00086A83">
      <w:pPr>
        <w:spacing w:after="0" w:line="240" w:lineRule="auto"/>
      </w:pPr>
      <w:r>
        <w:separator/>
      </w:r>
    </w:p>
  </w:footnote>
  <w:footnote w:type="continuationSeparator" w:id="0">
    <w:p w14:paraId="38B50DF1" w14:textId="77777777" w:rsidR="005B334E" w:rsidRDefault="005B334E" w:rsidP="00086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5CC4" w14:textId="667885BB" w:rsidR="004976B0" w:rsidRDefault="004976B0">
    <w:pPr>
      <w:pStyle w:val="Header"/>
    </w:pPr>
    <w:r>
      <w:rPr>
        <w:rFonts w:hint="eastAsia"/>
        <w:noProof/>
        <w:lang w:eastAsia="zh-CN"/>
      </w:rPr>
      <w:drawing>
        <wp:inline distT="0" distB="0" distL="0" distR="0" wp14:anchorId="55BFD22C" wp14:editId="344AE977">
          <wp:extent cx="1278924" cy="28358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876" cy="285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D5F"/>
    <w:multiLevelType w:val="hybridMultilevel"/>
    <w:tmpl w:val="15FE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A7E21"/>
    <w:multiLevelType w:val="hybridMultilevel"/>
    <w:tmpl w:val="568E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10C3F"/>
    <w:multiLevelType w:val="hybridMultilevel"/>
    <w:tmpl w:val="1C82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D0938"/>
    <w:multiLevelType w:val="hybridMultilevel"/>
    <w:tmpl w:val="D046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70808"/>
    <w:multiLevelType w:val="hybridMultilevel"/>
    <w:tmpl w:val="9800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64625"/>
    <w:multiLevelType w:val="hybridMultilevel"/>
    <w:tmpl w:val="F3442432"/>
    <w:lvl w:ilvl="0" w:tplc="393E64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B0A8E"/>
    <w:multiLevelType w:val="hybridMultilevel"/>
    <w:tmpl w:val="13CC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63B47"/>
    <w:multiLevelType w:val="hybridMultilevel"/>
    <w:tmpl w:val="A3A8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867CAE"/>
    <w:multiLevelType w:val="hybridMultilevel"/>
    <w:tmpl w:val="E6F85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B344EF"/>
    <w:multiLevelType w:val="hybridMultilevel"/>
    <w:tmpl w:val="8ADA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893A42"/>
    <w:multiLevelType w:val="hybridMultilevel"/>
    <w:tmpl w:val="721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9"/>
  </w:num>
  <w:num w:numId="5">
    <w:abstractNumId w:val="2"/>
  </w:num>
  <w:num w:numId="6">
    <w:abstractNumId w:val="0"/>
  </w:num>
  <w:num w:numId="7">
    <w:abstractNumId w:val="7"/>
  </w:num>
  <w:num w:numId="8">
    <w:abstractNumId w:val="4"/>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C3F"/>
    <w:rsid w:val="00001BD3"/>
    <w:rsid w:val="000045FC"/>
    <w:rsid w:val="000115FC"/>
    <w:rsid w:val="00015532"/>
    <w:rsid w:val="00017AEC"/>
    <w:rsid w:val="000213A6"/>
    <w:rsid w:val="00021632"/>
    <w:rsid w:val="0002573E"/>
    <w:rsid w:val="00026B24"/>
    <w:rsid w:val="00030F9F"/>
    <w:rsid w:val="00037721"/>
    <w:rsid w:val="0004028D"/>
    <w:rsid w:val="0004077A"/>
    <w:rsid w:val="00040985"/>
    <w:rsid w:val="00040E54"/>
    <w:rsid w:val="00042C21"/>
    <w:rsid w:val="00044E1E"/>
    <w:rsid w:val="00050834"/>
    <w:rsid w:val="00051430"/>
    <w:rsid w:val="00052700"/>
    <w:rsid w:val="00052AA4"/>
    <w:rsid w:val="00053CFD"/>
    <w:rsid w:val="00057495"/>
    <w:rsid w:val="000574ED"/>
    <w:rsid w:val="0006038F"/>
    <w:rsid w:val="00064028"/>
    <w:rsid w:val="000651A1"/>
    <w:rsid w:val="00065314"/>
    <w:rsid w:val="00071815"/>
    <w:rsid w:val="00072301"/>
    <w:rsid w:val="00073B0D"/>
    <w:rsid w:val="000754A2"/>
    <w:rsid w:val="000755D5"/>
    <w:rsid w:val="000800BC"/>
    <w:rsid w:val="000852A5"/>
    <w:rsid w:val="00085923"/>
    <w:rsid w:val="00086A83"/>
    <w:rsid w:val="00092732"/>
    <w:rsid w:val="000938E5"/>
    <w:rsid w:val="00095759"/>
    <w:rsid w:val="00096F38"/>
    <w:rsid w:val="000A1711"/>
    <w:rsid w:val="000A30D0"/>
    <w:rsid w:val="000B1622"/>
    <w:rsid w:val="000B1633"/>
    <w:rsid w:val="000B7E64"/>
    <w:rsid w:val="000C0D7E"/>
    <w:rsid w:val="000C1ECC"/>
    <w:rsid w:val="000C3BE5"/>
    <w:rsid w:val="000C492C"/>
    <w:rsid w:val="000D0296"/>
    <w:rsid w:val="000D08CE"/>
    <w:rsid w:val="000D1E4B"/>
    <w:rsid w:val="000D5A52"/>
    <w:rsid w:val="000D6BFF"/>
    <w:rsid w:val="000D7647"/>
    <w:rsid w:val="000E0EA2"/>
    <w:rsid w:val="000E3F3F"/>
    <w:rsid w:val="000E6A6C"/>
    <w:rsid w:val="000F0723"/>
    <w:rsid w:val="000F0D69"/>
    <w:rsid w:val="000F1F52"/>
    <w:rsid w:val="000F50E1"/>
    <w:rsid w:val="00103BCB"/>
    <w:rsid w:val="00103F2B"/>
    <w:rsid w:val="00110558"/>
    <w:rsid w:val="00110A86"/>
    <w:rsid w:val="00111E28"/>
    <w:rsid w:val="00111E74"/>
    <w:rsid w:val="00112875"/>
    <w:rsid w:val="0011770A"/>
    <w:rsid w:val="00120F0A"/>
    <w:rsid w:val="00123107"/>
    <w:rsid w:val="001234A4"/>
    <w:rsid w:val="001279E9"/>
    <w:rsid w:val="00130A75"/>
    <w:rsid w:val="001332FA"/>
    <w:rsid w:val="00134602"/>
    <w:rsid w:val="00137D26"/>
    <w:rsid w:val="0014128A"/>
    <w:rsid w:val="0014172E"/>
    <w:rsid w:val="0014189A"/>
    <w:rsid w:val="00143D5C"/>
    <w:rsid w:val="00150408"/>
    <w:rsid w:val="001522FD"/>
    <w:rsid w:val="00152C08"/>
    <w:rsid w:val="0016296E"/>
    <w:rsid w:val="00164A8A"/>
    <w:rsid w:val="00171C7C"/>
    <w:rsid w:val="00171FD7"/>
    <w:rsid w:val="00175371"/>
    <w:rsid w:val="001759EF"/>
    <w:rsid w:val="00175F2E"/>
    <w:rsid w:val="00176B92"/>
    <w:rsid w:val="001844FB"/>
    <w:rsid w:val="00187B44"/>
    <w:rsid w:val="001932F5"/>
    <w:rsid w:val="00197CC4"/>
    <w:rsid w:val="001A0050"/>
    <w:rsid w:val="001A0717"/>
    <w:rsid w:val="001A2B64"/>
    <w:rsid w:val="001A2CB9"/>
    <w:rsid w:val="001A3536"/>
    <w:rsid w:val="001A3D9D"/>
    <w:rsid w:val="001A4F0B"/>
    <w:rsid w:val="001A7A8A"/>
    <w:rsid w:val="001B11B8"/>
    <w:rsid w:val="001B1FCE"/>
    <w:rsid w:val="001B2D8E"/>
    <w:rsid w:val="001B3A15"/>
    <w:rsid w:val="001B44C1"/>
    <w:rsid w:val="001B46C2"/>
    <w:rsid w:val="001B4B10"/>
    <w:rsid w:val="001B50E7"/>
    <w:rsid w:val="001B5A03"/>
    <w:rsid w:val="001B7905"/>
    <w:rsid w:val="001B7943"/>
    <w:rsid w:val="001C087A"/>
    <w:rsid w:val="001C153C"/>
    <w:rsid w:val="001D49BD"/>
    <w:rsid w:val="001E0967"/>
    <w:rsid w:val="001E3595"/>
    <w:rsid w:val="001E3B1C"/>
    <w:rsid w:val="001E6E76"/>
    <w:rsid w:val="001E73E0"/>
    <w:rsid w:val="001F0F15"/>
    <w:rsid w:val="001F4BB3"/>
    <w:rsid w:val="00202867"/>
    <w:rsid w:val="00202A31"/>
    <w:rsid w:val="0020581A"/>
    <w:rsid w:val="0020639B"/>
    <w:rsid w:val="00210550"/>
    <w:rsid w:val="002266C9"/>
    <w:rsid w:val="002275EF"/>
    <w:rsid w:val="002310B6"/>
    <w:rsid w:val="0023217E"/>
    <w:rsid w:val="00233D00"/>
    <w:rsid w:val="002345C0"/>
    <w:rsid w:val="00234B31"/>
    <w:rsid w:val="00234E72"/>
    <w:rsid w:val="0023501F"/>
    <w:rsid w:val="00236449"/>
    <w:rsid w:val="0024350F"/>
    <w:rsid w:val="00243C7F"/>
    <w:rsid w:val="00245208"/>
    <w:rsid w:val="0024568A"/>
    <w:rsid w:val="002507BE"/>
    <w:rsid w:val="00250E26"/>
    <w:rsid w:val="00251DB9"/>
    <w:rsid w:val="00252426"/>
    <w:rsid w:val="00253618"/>
    <w:rsid w:val="00257CF9"/>
    <w:rsid w:val="0026313E"/>
    <w:rsid w:val="002645B1"/>
    <w:rsid w:val="00264A09"/>
    <w:rsid w:val="00266EE8"/>
    <w:rsid w:val="00270823"/>
    <w:rsid w:val="00270F0B"/>
    <w:rsid w:val="00271249"/>
    <w:rsid w:val="00271A16"/>
    <w:rsid w:val="00273B6F"/>
    <w:rsid w:val="002809F9"/>
    <w:rsid w:val="00284157"/>
    <w:rsid w:val="00284FA6"/>
    <w:rsid w:val="0028523C"/>
    <w:rsid w:val="002856DC"/>
    <w:rsid w:val="00285D3A"/>
    <w:rsid w:val="0028729F"/>
    <w:rsid w:val="002908B8"/>
    <w:rsid w:val="00294358"/>
    <w:rsid w:val="00294D3D"/>
    <w:rsid w:val="00295CAD"/>
    <w:rsid w:val="00297224"/>
    <w:rsid w:val="002A0983"/>
    <w:rsid w:val="002A180F"/>
    <w:rsid w:val="002A2984"/>
    <w:rsid w:val="002A2FBB"/>
    <w:rsid w:val="002A5AC1"/>
    <w:rsid w:val="002B3255"/>
    <w:rsid w:val="002B387E"/>
    <w:rsid w:val="002B5622"/>
    <w:rsid w:val="002B75C2"/>
    <w:rsid w:val="002C2117"/>
    <w:rsid w:val="002C351B"/>
    <w:rsid w:val="002C4625"/>
    <w:rsid w:val="002C5530"/>
    <w:rsid w:val="002C7B8D"/>
    <w:rsid w:val="002C7DBB"/>
    <w:rsid w:val="002D26B4"/>
    <w:rsid w:val="002D27A8"/>
    <w:rsid w:val="002D3468"/>
    <w:rsid w:val="002D3A30"/>
    <w:rsid w:val="002D4DE6"/>
    <w:rsid w:val="002D563B"/>
    <w:rsid w:val="002E2246"/>
    <w:rsid w:val="002E27C5"/>
    <w:rsid w:val="002E53C8"/>
    <w:rsid w:val="002F4FFD"/>
    <w:rsid w:val="002F7F83"/>
    <w:rsid w:val="0030322C"/>
    <w:rsid w:val="003032CC"/>
    <w:rsid w:val="00304AE7"/>
    <w:rsid w:val="00313717"/>
    <w:rsid w:val="00320FE1"/>
    <w:rsid w:val="0032122C"/>
    <w:rsid w:val="0032395E"/>
    <w:rsid w:val="0032429A"/>
    <w:rsid w:val="00327DBF"/>
    <w:rsid w:val="00330B41"/>
    <w:rsid w:val="00332412"/>
    <w:rsid w:val="003326C9"/>
    <w:rsid w:val="003341A6"/>
    <w:rsid w:val="00334965"/>
    <w:rsid w:val="00335631"/>
    <w:rsid w:val="003419EA"/>
    <w:rsid w:val="00341F9E"/>
    <w:rsid w:val="003423C8"/>
    <w:rsid w:val="003428B3"/>
    <w:rsid w:val="00345014"/>
    <w:rsid w:val="00345B4B"/>
    <w:rsid w:val="00347B5C"/>
    <w:rsid w:val="00347F96"/>
    <w:rsid w:val="00350B85"/>
    <w:rsid w:val="0035512B"/>
    <w:rsid w:val="003565E2"/>
    <w:rsid w:val="00356845"/>
    <w:rsid w:val="00357CF3"/>
    <w:rsid w:val="00357D10"/>
    <w:rsid w:val="003602FD"/>
    <w:rsid w:val="00361D27"/>
    <w:rsid w:val="00362301"/>
    <w:rsid w:val="00363760"/>
    <w:rsid w:val="00363D43"/>
    <w:rsid w:val="00364A4E"/>
    <w:rsid w:val="00364FC3"/>
    <w:rsid w:val="00365ECE"/>
    <w:rsid w:val="00367508"/>
    <w:rsid w:val="003679D8"/>
    <w:rsid w:val="00370279"/>
    <w:rsid w:val="00370618"/>
    <w:rsid w:val="00377371"/>
    <w:rsid w:val="003808B6"/>
    <w:rsid w:val="003843CB"/>
    <w:rsid w:val="003868D4"/>
    <w:rsid w:val="003918CC"/>
    <w:rsid w:val="0039399F"/>
    <w:rsid w:val="00396197"/>
    <w:rsid w:val="00396BCB"/>
    <w:rsid w:val="003A09DC"/>
    <w:rsid w:val="003A43F0"/>
    <w:rsid w:val="003A693E"/>
    <w:rsid w:val="003A720F"/>
    <w:rsid w:val="003B0DEA"/>
    <w:rsid w:val="003B13F7"/>
    <w:rsid w:val="003B23C8"/>
    <w:rsid w:val="003B2D1E"/>
    <w:rsid w:val="003B3D58"/>
    <w:rsid w:val="003B3EC8"/>
    <w:rsid w:val="003B4F05"/>
    <w:rsid w:val="003B6F95"/>
    <w:rsid w:val="003B7158"/>
    <w:rsid w:val="003C0C93"/>
    <w:rsid w:val="003C13C8"/>
    <w:rsid w:val="003C2D62"/>
    <w:rsid w:val="003C6F16"/>
    <w:rsid w:val="003C75F2"/>
    <w:rsid w:val="003D1B0E"/>
    <w:rsid w:val="003D4E5B"/>
    <w:rsid w:val="003E211A"/>
    <w:rsid w:val="003E3DD1"/>
    <w:rsid w:val="003E6D07"/>
    <w:rsid w:val="003F633A"/>
    <w:rsid w:val="003F673E"/>
    <w:rsid w:val="003F6785"/>
    <w:rsid w:val="00402B15"/>
    <w:rsid w:val="00406D09"/>
    <w:rsid w:val="004127BF"/>
    <w:rsid w:val="004146DF"/>
    <w:rsid w:val="00414E33"/>
    <w:rsid w:val="0041672F"/>
    <w:rsid w:val="00423973"/>
    <w:rsid w:val="00424049"/>
    <w:rsid w:val="0042720F"/>
    <w:rsid w:val="004302AC"/>
    <w:rsid w:val="00432CBA"/>
    <w:rsid w:val="00433219"/>
    <w:rsid w:val="00434F7F"/>
    <w:rsid w:val="00437FA9"/>
    <w:rsid w:val="004435EB"/>
    <w:rsid w:val="0044511C"/>
    <w:rsid w:val="00447B87"/>
    <w:rsid w:val="00447BD8"/>
    <w:rsid w:val="00451E21"/>
    <w:rsid w:val="00457E3F"/>
    <w:rsid w:val="00457F10"/>
    <w:rsid w:val="00461221"/>
    <w:rsid w:val="004629FE"/>
    <w:rsid w:val="00466D0A"/>
    <w:rsid w:val="00466EA3"/>
    <w:rsid w:val="00467A0D"/>
    <w:rsid w:val="004710A0"/>
    <w:rsid w:val="004803F0"/>
    <w:rsid w:val="00481953"/>
    <w:rsid w:val="00484EFF"/>
    <w:rsid w:val="00495141"/>
    <w:rsid w:val="00496401"/>
    <w:rsid w:val="004976B0"/>
    <w:rsid w:val="004A3660"/>
    <w:rsid w:val="004A7641"/>
    <w:rsid w:val="004B1CF7"/>
    <w:rsid w:val="004B2816"/>
    <w:rsid w:val="004B4A4D"/>
    <w:rsid w:val="004B6A59"/>
    <w:rsid w:val="004B6DA6"/>
    <w:rsid w:val="004C0E9F"/>
    <w:rsid w:val="004C12BA"/>
    <w:rsid w:val="004D2923"/>
    <w:rsid w:val="004D2F5E"/>
    <w:rsid w:val="004D4535"/>
    <w:rsid w:val="004D4A04"/>
    <w:rsid w:val="004D565B"/>
    <w:rsid w:val="004E07CB"/>
    <w:rsid w:val="004E3BA2"/>
    <w:rsid w:val="004E41C1"/>
    <w:rsid w:val="004F32CF"/>
    <w:rsid w:val="004F6EEF"/>
    <w:rsid w:val="004F74F6"/>
    <w:rsid w:val="004F7C00"/>
    <w:rsid w:val="0050207A"/>
    <w:rsid w:val="0050686F"/>
    <w:rsid w:val="00510BE4"/>
    <w:rsid w:val="005234D8"/>
    <w:rsid w:val="005254E4"/>
    <w:rsid w:val="00526D59"/>
    <w:rsid w:val="00527BAD"/>
    <w:rsid w:val="005305E1"/>
    <w:rsid w:val="00530FA2"/>
    <w:rsid w:val="0053375A"/>
    <w:rsid w:val="00534583"/>
    <w:rsid w:val="00535098"/>
    <w:rsid w:val="005374C0"/>
    <w:rsid w:val="00540829"/>
    <w:rsid w:val="0054128E"/>
    <w:rsid w:val="00541CC4"/>
    <w:rsid w:val="00542E53"/>
    <w:rsid w:val="00547622"/>
    <w:rsid w:val="00547E89"/>
    <w:rsid w:val="00554425"/>
    <w:rsid w:val="00554A3C"/>
    <w:rsid w:val="005559C4"/>
    <w:rsid w:val="00557AD3"/>
    <w:rsid w:val="00560E37"/>
    <w:rsid w:val="00561C56"/>
    <w:rsid w:val="00563B9A"/>
    <w:rsid w:val="00564BEC"/>
    <w:rsid w:val="0056637A"/>
    <w:rsid w:val="0057386D"/>
    <w:rsid w:val="00575BA2"/>
    <w:rsid w:val="0057721D"/>
    <w:rsid w:val="0058066A"/>
    <w:rsid w:val="0058424C"/>
    <w:rsid w:val="00584354"/>
    <w:rsid w:val="005854B6"/>
    <w:rsid w:val="00585844"/>
    <w:rsid w:val="00587A75"/>
    <w:rsid w:val="005905D3"/>
    <w:rsid w:val="00592F2B"/>
    <w:rsid w:val="00593DA9"/>
    <w:rsid w:val="0059456B"/>
    <w:rsid w:val="00597859"/>
    <w:rsid w:val="005A248D"/>
    <w:rsid w:val="005A4A97"/>
    <w:rsid w:val="005A6F3D"/>
    <w:rsid w:val="005B00C6"/>
    <w:rsid w:val="005B3056"/>
    <w:rsid w:val="005B334E"/>
    <w:rsid w:val="005B59A8"/>
    <w:rsid w:val="005B781E"/>
    <w:rsid w:val="005C2EF4"/>
    <w:rsid w:val="005C4B02"/>
    <w:rsid w:val="005C6CD0"/>
    <w:rsid w:val="005C6F5F"/>
    <w:rsid w:val="005C7779"/>
    <w:rsid w:val="005D03E7"/>
    <w:rsid w:val="005D0B08"/>
    <w:rsid w:val="005D13E7"/>
    <w:rsid w:val="005D1477"/>
    <w:rsid w:val="005D6E9F"/>
    <w:rsid w:val="005E0AD6"/>
    <w:rsid w:val="005E1DDD"/>
    <w:rsid w:val="005E3D1A"/>
    <w:rsid w:val="005E5AC5"/>
    <w:rsid w:val="005E5E31"/>
    <w:rsid w:val="005F0654"/>
    <w:rsid w:val="005F1EDF"/>
    <w:rsid w:val="005F3C23"/>
    <w:rsid w:val="005F47FA"/>
    <w:rsid w:val="005F5759"/>
    <w:rsid w:val="005F58BA"/>
    <w:rsid w:val="005F5DB5"/>
    <w:rsid w:val="005F7F6E"/>
    <w:rsid w:val="006020F5"/>
    <w:rsid w:val="006031C0"/>
    <w:rsid w:val="00610957"/>
    <w:rsid w:val="0061146C"/>
    <w:rsid w:val="006117B9"/>
    <w:rsid w:val="0061223D"/>
    <w:rsid w:val="0061281C"/>
    <w:rsid w:val="00613ED9"/>
    <w:rsid w:val="0061467D"/>
    <w:rsid w:val="00620979"/>
    <w:rsid w:val="006225B4"/>
    <w:rsid w:val="00624ECD"/>
    <w:rsid w:val="0062604F"/>
    <w:rsid w:val="00634F6C"/>
    <w:rsid w:val="006358A6"/>
    <w:rsid w:val="006406AE"/>
    <w:rsid w:val="006427CE"/>
    <w:rsid w:val="00655197"/>
    <w:rsid w:val="006551E9"/>
    <w:rsid w:val="0065521A"/>
    <w:rsid w:val="0065718C"/>
    <w:rsid w:val="00660677"/>
    <w:rsid w:val="00664573"/>
    <w:rsid w:val="00665F39"/>
    <w:rsid w:val="0066626C"/>
    <w:rsid w:val="00667034"/>
    <w:rsid w:val="00667EA3"/>
    <w:rsid w:val="006716D5"/>
    <w:rsid w:val="00671C05"/>
    <w:rsid w:val="00671E02"/>
    <w:rsid w:val="0067478F"/>
    <w:rsid w:val="0067495F"/>
    <w:rsid w:val="00680730"/>
    <w:rsid w:val="00681598"/>
    <w:rsid w:val="0068176C"/>
    <w:rsid w:val="0069077F"/>
    <w:rsid w:val="006938D0"/>
    <w:rsid w:val="006A4133"/>
    <w:rsid w:val="006A563A"/>
    <w:rsid w:val="006A7A20"/>
    <w:rsid w:val="006A7B1D"/>
    <w:rsid w:val="006B0C13"/>
    <w:rsid w:val="006B1093"/>
    <w:rsid w:val="006B1AAD"/>
    <w:rsid w:val="006B1C42"/>
    <w:rsid w:val="006B1C94"/>
    <w:rsid w:val="006B5E80"/>
    <w:rsid w:val="006C574E"/>
    <w:rsid w:val="006C5B51"/>
    <w:rsid w:val="006C6408"/>
    <w:rsid w:val="006C6C8B"/>
    <w:rsid w:val="006D4294"/>
    <w:rsid w:val="006D67A7"/>
    <w:rsid w:val="006E03E7"/>
    <w:rsid w:val="006E1467"/>
    <w:rsid w:val="006E70AD"/>
    <w:rsid w:val="006F1BD0"/>
    <w:rsid w:val="006F28E9"/>
    <w:rsid w:val="006F519A"/>
    <w:rsid w:val="006F521A"/>
    <w:rsid w:val="006F6AF3"/>
    <w:rsid w:val="00701D8F"/>
    <w:rsid w:val="00702383"/>
    <w:rsid w:val="00707383"/>
    <w:rsid w:val="0071240B"/>
    <w:rsid w:val="007168A5"/>
    <w:rsid w:val="007239B9"/>
    <w:rsid w:val="0072520B"/>
    <w:rsid w:val="00726172"/>
    <w:rsid w:val="007265DC"/>
    <w:rsid w:val="00726E9D"/>
    <w:rsid w:val="007276E2"/>
    <w:rsid w:val="007339FD"/>
    <w:rsid w:val="007363A7"/>
    <w:rsid w:val="007405BD"/>
    <w:rsid w:val="00746AD4"/>
    <w:rsid w:val="00747177"/>
    <w:rsid w:val="0075106A"/>
    <w:rsid w:val="00752234"/>
    <w:rsid w:val="00753463"/>
    <w:rsid w:val="00753B5A"/>
    <w:rsid w:val="00753D4C"/>
    <w:rsid w:val="007544D0"/>
    <w:rsid w:val="007549B5"/>
    <w:rsid w:val="00755B1A"/>
    <w:rsid w:val="0076292A"/>
    <w:rsid w:val="0076319C"/>
    <w:rsid w:val="00771A83"/>
    <w:rsid w:val="00771C92"/>
    <w:rsid w:val="00775725"/>
    <w:rsid w:val="00775C8F"/>
    <w:rsid w:val="00787566"/>
    <w:rsid w:val="0079243A"/>
    <w:rsid w:val="00792456"/>
    <w:rsid w:val="007929EF"/>
    <w:rsid w:val="00792BD7"/>
    <w:rsid w:val="00795C3C"/>
    <w:rsid w:val="007A05D6"/>
    <w:rsid w:val="007A53F7"/>
    <w:rsid w:val="007A6DD3"/>
    <w:rsid w:val="007B00CF"/>
    <w:rsid w:val="007B1CFF"/>
    <w:rsid w:val="007B30D0"/>
    <w:rsid w:val="007B3E6C"/>
    <w:rsid w:val="007B56B9"/>
    <w:rsid w:val="007B5B1C"/>
    <w:rsid w:val="007C0837"/>
    <w:rsid w:val="007C19E4"/>
    <w:rsid w:val="007C3E2E"/>
    <w:rsid w:val="007C4F00"/>
    <w:rsid w:val="007C6242"/>
    <w:rsid w:val="007D14CF"/>
    <w:rsid w:val="007D1A1D"/>
    <w:rsid w:val="007D264A"/>
    <w:rsid w:val="007D47EA"/>
    <w:rsid w:val="007D4D6E"/>
    <w:rsid w:val="007D7782"/>
    <w:rsid w:val="007E044B"/>
    <w:rsid w:val="007E3032"/>
    <w:rsid w:val="007E4897"/>
    <w:rsid w:val="007E5BFF"/>
    <w:rsid w:val="007E6128"/>
    <w:rsid w:val="007F044D"/>
    <w:rsid w:val="007F1270"/>
    <w:rsid w:val="007F3B19"/>
    <w:rsid w:val="007F4079"/>
    <w:rsid w:val="007F5C31"/>
    <w:rsid w:val="007F5D4D"/>
    <w:rsid w:val="007F72C5"/>
    <w:rsid w:val="00802307"/>
    <w:rsid w:val="0080260E"/>
    <w:rsid w:val="008027DC"/>
    <w:rsid w:val="008059FA"/>
    <w:rsid w:val="00814D3F"/>
    <w:rsid w:val="0081747D"/>
    <w:rsid w:val="0081773B"/>
    <w:rsid w:val="008200EF"/>
    <w:rsid w:val="00824915"/>
    <w:rsid w:val="008320A9"/>
    <w:rsid w:val="0083226F"/>
    <w:rsid w:val="00832697"/>
    <w:rsid w:val="00832C55"/>
    <w:rsid w:val="00834164"/>
    <w:rsid w:val="008363DC"/>
    <w:rsid w:val="00852C32"/>
    <w:rsid w:val="00853404"/>
    <w:rsid w:val="0085366F"/>
    <w:rsid w:val="008538C6"/>
    <w:rsid w:val="00855E3A"/>
    <w:rsid w:val="00856D4D"/>
    <w:rsid w:val="0085743B"/>
    <w:rsid w:val="008600AB"/>
    <w:rsid w:val="00863E8A"/>
    <w:rsid w:val="00864615"/>
    <w:rsid w:val="00864982"/>
    <w:rsid w:val="0087109B"/>
    <w:rsid w:val="00872A4F"/>
    <w:rsid w:val="008748BD"/>
    <w:rsid w:val="00874D59"/>
    <w:rsid w:val="00876192"/>
    <w:rsid w:val="0088228E"/>
    <w:rsid w:val="00883269"/>
    <w:rsid w:val="00884770"/>
    <w:rsid w:val="00886563"/>
    <w:rsid w:val="00886F31"/>
    <w:rsid w:val="00887B64"/>
    <w:rsid w:val="008902FA"/>
    <w:rsid w:val="00890759"/>
    <w:rsid w:val="00890AE5"/>
    <w:rsid w:val="008940F4"/>
    <w:rsid w:val="00894A46"/>
    <w:rsid w:val="0089637A"/>
    <w:rsid w:val="008965B5"/>
    <w:rsid w:val="0089665E"/>
    <w:rsid w:val="00897056"/>
    <w:rsid w:val="00897836"/>
    <w:rsid w:val="008A2822"/>
    <w:rsid w:val="008A2F4D"/>
    <w:rsid w:val="008A2F65"/>
    <w:rsid w:val="008A3961"/>
    <w:rsid w:val="008A4E87"/>
    <w:rsid w:val="008A622B"/>
    <w:rsid w:val="008A749D"/>
    <w:rsid w:val="008A74FE"/>
    <w:rsid w:val="008B4E1A"/>
    <w:rsid w:val="008C00E2"/>
    <w:rsid w:val="008C0970"/>
    <w:rsid w:val="008C28D4"/>
    <w:rsid w:val="008C4D1B"/>
    <w:rsid w:val="008D0A8C"/>
    <w:rsid w:val="008D0F97"/>
    <w:rsid w:val="008D1F31"/>
    <w:rsid w:val="008E1CB2"/>
    <w:rsid w:val="008E5B84"/>
    <w:rsid w:val="008E71A4"/>
    <w:rsid w:val="008F0582"/>
    <w:rsid w:val="008F689B"/>
    <w:rsid w:val="00902000"/>
    <w:rsid w:val="00903438"/>
    <w:rsid w:val="009052CD"/>
    <w:rsid w:val="0090778E"/>
    <w:rsid w:val="00907914"/>
    <w:rsid w:val="00910149"/>
    <w:rsid w:val="00910DDB"/>
    <w:rsid w:val="00912C05"/>
    <w:rsid w:val="009171CB"/>
    <w:rsid w:val="0092555F"/>
    <w:rsid w:val="00925728"/>
    <w:rsid w:val="009416AF"/>
    <w:rsid w:val="00942D8E"/>
    <w:rsid w:val="00950640"/>
    <w:rsid w:val="00954490"/>
    <w:rsid w:val="00954581"/>
    <w:rsid w:val="009573F9"/>
    <w:rsid w:val="009640C4"/>
    <w:rsid w:val="009650EB"/>
    <w:rsid w:val="00967148"/>
    <w:rsid w:val="00967471"/>
    <w:rsid w:val="009678CD"/>
    <w:rsid w:val="009720A2"/>
    <w:rsid w:val="0098061E"/>
    <w:rsid w:val="00981101"/>
    <w:rsid w:val="00985DCD"/>
    <w:rsid w:val="00991EE7"/>
    <w:rsid w:val="0099498D"/>
    <w:rsid w:val="009A0908"/>
    <w:rsid w:val="009A1F83"/>
    <w:rsid w:val="009A3357"/>
    <w:rsid w:val="009A6697"/>
    <w:rsid w:val="009A69BE"/>
    <w:rsid w:val="009A7DC4"/>
    <w:rsid w:val="009B4953"/>
    <w:rsid w:val="009B4D6F"/>
    <w:rsid w:val="009B5003"/>
    <w:rsid w:val="009B5929"/>
    <w:rsid w:val="009C1EBD"/>
    <w:rsid w:val="009C366E"/>
    <w:rsid w:val="009C4F26"/>
    <w:rsid w:val="009C5682"/>
    <w:rsid w:val="009C781E"/>
    <w:rsid w:val="009C79CC"/>
    <w:rsid w:val="009C7FDF"/>
    <w:rsid w:val="009D18B3"/>
    <w:rsid w:val="009D5251"/>
    <w:rsid w:val="009D5ACF"/>
    <w:rsid w:val="009E0241"/>
    <w:rsid w:val="009E1D23"/>
    <w:rsid w:val="009E238C"/>
    <w:rsid w:val="009E2647"/>
    <w:rsid w:val="009E4AC5"/>
    <w:rsid w:val="009F0256"/>
    <w:rsid w:val="009F2D4F"/>
    <w:rsid w:val="009F6D53"/>
    <w:rsid w:val="009F71A4"/>
    <w:rsid w:val="00A005E6"/>
    <w:rsid w:val="00A01DB0"/>
    <w:rsid w:val="00A0410E"/>
    <w:rsid w:val="00A07DDA"/>
    <w:rsid w:val="00A145AD"/>
    <w:rsid w:val="00A1604A"/>
    <w:rsid w:val="00A17106"/>
    <w:rsid w:val="00A23392"/>
    <w:rsid w:val="00A25213"/>
    <w:rsid w:val="00A26A42"/>
    <w:rsid w:val="00A32A88"/>
    <w:rsid w:val="00A33AF3"/>
    <w:rsid w:val="00A4066C"/>
    <w:rsid w:val="00A407CB"/>
    <w:rsid w:val="00A4554E"/>
    <w:rsid w:val="00A507B2"/>
    <w:rsid w:val="00A52061"/>
    <w:rsid w:val="00A535AE"/>
    <w:rsid w:val="00A54433"/>
    <w:rsid w:val="00A579AF"/>
    <w:rsid w:val="00A57F78"/>
    <w:rsid w:val="00A60FB3"/>
    <w:rsid w:val="00A619EC"/>
    <w:rsid w:val="00A64594"/>
    <w:rsid w:val="00A64777"/>
    <w:rsid w:val="00A64BD4"/>
    <w:rsid w:val="00A70330"/>
    <w:rsid w:val="00A71781"/>
    <w:rsid w:val="00A72C77"/>
    <w:rsid w:val="00A72CA6"/>
    <w:rsid w:val="00A80287"/>
    <w:rsid w:val="00A85B09"/>
    <w:rsid w:val="00A8639B"/>
    <w:rsid w:val="00A8678B"/>
    <w:rsid w:val="00A908BD"/>
    <w:rsid w:val="00A90BC6"/>
    <w:rsid w:val="00A93A2B"/>
    <w:rsid w:val="00A96E20"/>
    <w:rsid w:val="00AA0DAE"/>
    <w:rsid w:val="00AB2F42"/>
    <w:rsid w:val="00AB40D4"/>
    <w:rsid w:val="00AB6888"/>
    <w:rsid w:val="00AC024E"/>
    <w:rsid w:val="00AC2101"/>
    <w:rsid w:val="00AC5EA4"/>
    <w:rsid w:val="00AD1C8E"/>
    <w:rsid w:val="00AD7A73"/>
    <w:rsid w:val="00AE131F"/>
    <w:rsid w:val="00AE1595"/>
    <w:rsid w:val="00AE3BDE"/>
    <w:rsid w:val="00AE3F64"/>
    <w:rsid w:val="00AF0B17"/>
    <w:rsid w:val="00AF718F"/>
    <w:rsid w:val="00B01377"/>
    <w:rsid w:val="00B01447"/>
    <w:rsid w:val="00B04A42"/>
    <w:rsid w:val="00B04EE3"/>
    <w:rsid w:val="00B05F46"/>
    <w:rsid w:val="00B124F3"/>
    <w:rsid w:val="00B141FA"/>
    <w:rsid w:val="00B14B9A"/>
    <w:rsid w:val="00B165ED"/>
    <w:rsid w:val="00B17C73"/>
    <w:rsid w:val="00B21EFA"/>
    <w:rsid w:val="00B2439B"/>
    <w:rsid w:val="00B25941"/>
    <w:rsid w:val="00B25ACF"/>
    <w:rsid w:val="00B26457"/>
    <w:rsid w:val="00B32597"/>
    <w:rsid w:val="00B32B60"/>
    <w:rsid w:val="00B36C8C"/>
    <w:rsid w:val="00B419B4"/>
    <w:rsid w:val="00B47C86"/>
    <w:rsid w:val="00B5154D"/>
    <w:rsid w:val="00B5465B"/>
    <w:rsid w:val="00B54DED"/>
    <w:rsid w:val="00B5585B"/>
    <w:rsid w:val="00B6044E"/>
    <w:rsid w:val="00B62798"/>
    <w:rsid w:val="00B651F5"/>
    <w:rsid w:val="00B65CB2"/>
    <w:rsid w:val="00B672CF"/>
    <w:rsid w:val="00B67317"/>
    <w:rsid w:val="00B71ECE"/>
    <w:rsid w:val="00B71EFB"/>
    <w:rsid w:val="00B7275C"/>
    <w:rsid w:val="00B7567E"/>
    <w:rsid w:val="00B760BE"/>
    <w:rsid w:val="00B76786"/>
    <w:rsid w:val="00B76E0B"/>
    <w:rsid w:val="00B81197"/>
    <w:rsid w:val="00B823F8"/>
    <w:rsid w:val="00B83259"/>
    <w:rsid w:val="00B84D93"/>
    <w:rsid w:val="00B84E50"/>
    <w:rsid w:val="00B8560B"/>
    <w:rsid w:val="00B85B5E"/>
    <w:rsid w:val="00B8782A"/>
    <w:rsid w:val="00B93A49"/>
    <w:rsid w:val="00B9532C"/>
    <w:rsid w:val="00BA0CD9"/>
    <w:rsid w:val="00BA18D8"/>
    <w:rsid w:val="00BA3C71"/>
    <w:rsid w:val="00BA4191"/>
    <w:rsid w:val="00BA480E"/>
    <w:rsid w:val="00BA4CA7"/>
    <w:rsid w:val="00BA5DDE"/>
    <w:rsid w:val="00BA64E7"/>
    <w:rsid w:val="00BB5072"/>
    <w:rsid w:val="00BC23C3"/>
    <w:rsid w:val="00BC3375"/>
    <w:rsid w:val="00BC67EE"/>
    <w:rsid w:val="00BC7263"/>
    <w:rsid w:val="00BC76BC"/>
    <w:rsid w:val="00BD174B"/>
    <w:rsid w:val="00BD1B8D"/>
    <w:rsid w:val="00BD26D6"/>
    <w:rsid w:val="00BD51FB"/>
    <w:rsid w:val="00BD71E0"/>
    <w:rsid w:val="00BE0436"/>
    <w:rsid w:val="00BE0BD2"/>
    <w:rsid w:val="00BE1737"/>
    <w:rsid w:val="00BF2B10"/>
    <w:rsid w:val="00BF30A6"/>
    <w:rsid w:val="00C02935"/>
    <w:rsid w:val="00C03B23"/>
    <w:rsid w:val="00C064CE"/>
    <w:rsid w:val="00C06E35"/>
    <w:rsid w:val="00C14C92"/>
    <w:rsid w:val="00C14FAB"/>
    <w:rsid w:val="00C22AAC"/>
    <w:rsid w:val="00C22D8D"/>
    <w:rsid w:val="00C30BB5"/>
    <w:rsid w:val="00C3145D"/>
    <w:rsid w:val="00C315A4"/>
    <w:rsid w:val="00C31AC9"/>
    <w:rsid w:val="00C321D2"/>
    <w:rsid w:val="00C34FAB"/>
    <w:rsid w:val="00C36999"/>
    <w:rsid w:val="00C36D5E"/>
    <w:rsid w:val="00C423AF"/>
    <w:rsid w:val="00C43401"/>
    <w:rsid w:val="00C43751"/>
    <w:rsid w:val="00C45B7A"/>
    <w:rsid w:val="00C47700"/>
    <w:rsid w:val="00C523B5"/>
    <w:rsid w:val="00C53941"/>
    <w:rsid w:val="00C555A0"/>
    <w:rsid w:val="00C55876"/>
    <w:rsid w:val="00C570CA"/>
    <w:rsid w:val="00C60F36"/>
    <w:rsid w:val="00C62088"/>
    <w:rsid w:val="00C62F6A"/>
    <w:rsid w:val="00C63BC9"/>
    <w:rsid w:val="00C66C80"/>
    <w:rsid w:val="00C73A1D"/>
    <w:rsid w:val="00C7568D"/>
    <w:rsid w:val="00C82647"/>
    <w:rsid w:val="00C8476A"/>
    <w:rsid w:val="00C85F35"/>
    <w:rsid w:val="00C87A9C"/>
    <w:rsid w:val="00C87E16"/>
    <w:rsid w:val="00C9147F"/>
    <w:rsid w:val="00C93265"/>
    <w:rsid w:val="00CA14CA"/>
    <w:rsid w:val="00CA53B8"/>
    <w:rsid w:val="00CA71AF"/>
    <w:rsid w:val="00CB0CC5"/>
    <w:rsid w:val="00CB1047"/>
    <w:rsid w:val="00CB12D4"/>
    <w:rsid w:val="00CC09B1"/>
    <w:rsid w:val="00CC185F"/>
    <w:rsid w:val="00CC23A9"/>
    <w:rsid w:val="00CC2AB2"/>
    <w:rsid w:val="00CC3F83"/>
    <w:rsid w:val="00CC4CF7"/>
    <w:rsid w:val="00CC5131"/>
    <w:rsid w:val="00CD0048"/>
    <w:rsid w:val="00CD020F"/>
    <w:rsid w:val="00CD05E3"/>
    <w:rsid w:val="00CD0770"/>
    <w:rsid w:val="00CD2C46"/>
    <w:rsid w:val="00CD49D8"/>
    <w:rsid w:val="00CD5962"/>
    <w:rsid w:val="00CD6111"/>
    <w:rsid w:val="00CD7464"/>
    <w:rsid w:val="00CE0145"/>
    <w:rsid w:val="00CE25E9"/>
    <w:rsid w:val="00CE2E1D"/>
    <w:rsid w:val="00CF004D"/>
    <w:rsid w:val="00CF0095"/>
    <w:rsid w:val="00CF0552"/>
    <w:rsid w:val="00CF6628"/>
    <w:rsid w:val="00D03A0C"/>
    <w:rsid w:val="00D051A2"/>
    <w:rsid w:val="00D0583F"/>
    <w:rsid w:val="00D058E4"/>
    <w:rsid w:val="00D07ACD"/>
    <w:rsid w:val="00D12371"/>
    <w:rsid w:val="00D12AE3"/>
    <w:rsid w:val="00D14DCC"/>
    <w:rsid w:val="00D16027"/>
    <w:rsid w:val="00D16C3F"/>
    <w:rsid w:val="00D1705C"/>
    <w:rsid w:val="00D17152"/>
    <w:rsid w:val="00D2321A"/>
    <w:rsid w:val="00D232FC"/>
    <w:rsid w:val="00D243E7"/>
    <w:rsid w:val="00D31C15"/>
    <w:rsid w:val="00D323FD"/>
    <w:rsid w:val="00D37259"/>
    <w:rsid w:val="00D373AF"/>
    <w:rsid w:val="00D3790B"/>
    <w:rsid w:val="00D43750"/>
    <w:rsid w:val="00D43A81"/>
    <w:rsid w:val="00D442C8"/>
    <w:rsid w:val="00D4447C"/>
    <w:rsid w:val="00D46169"/>
    <w:rsid w:val="00D4674E"/>
    <w:rsid w:val="00D503DE"/>
    <w:rsid w:val="00D52C06"/>
    <w:rsid w:val="00D533C1"/>
    <w:rsid w:val="00D53692"/>
    <w:rsid w:val="00D55038"/>
    <w:rsid w:val="00D554E5"/>
    <w:rsid w:val="00D57748"/>
    <w:rsid w:val="00D60C63"/>
    <w:rsid w:val="00D61B3E"/>
    <w:rsid w:val="00D65307"/>
    <w:rsid w:val="00D70122"/>
    <w:rsid w:val="00D7157C"/>
    <w:rsid w:val="00D7435D"/>
    <w:rsid w:val="00D81CC1"/>
    <w:rsid w:val="00D82C95"/>
    <w:rsid w:val="00D83673"/>
    <w:rsid w:val="00D84575"/>
    <w:rsid w:val="00D8484F"/>
    <w:rsid w:val="00D852A6"/>
    <w:rsid w:val="00D91AC7"/>
    <w:rsid w:val="00D9574F"/>
    <w:rsid w:val="00D95BBC"/>
    <w:rsid w:val="00D96D89"/>
    <w:rsid w:val="00DA3954"/>
    <w:rsid w:val="00DA477E"/>
    <w:rsid w:val="00DA511F"/>
    <w:rsid w:val="00DA5B30"/>
    <w:rsid w:val="00DA6225"/>
    <w:rsid w:val="00DA6EAB"/>
    <w:rsid w:val="00DB18DF"/>
    <w:rsid w:val="00DB1B7D"/>
    <w:rsid w:val="00DB7AA1"/>
    <w:rsid w:val="00DB7B3D"/>
    <w:rsid w:val="00DC0E99"/>
    <w:rsid w:val="00DC23AF"/>
    <w:rsid w:val="00DC5A94"/>
    <w:rsid w:val="00DC6790"/>
    <w:rsid w:val="00DD04C8"/>
    <w:rsid w:val="00DD17A4"/>
    <w:rsid w:val="00DD1C95"/>
    <w:rsid w:val="00DD30A2"/>
    <w:rsid w:val="00DD41D5"/>
    <w:rsid w:val="00DD4597"/>
    <w:rsid w:val="00DE1963"/>
    <w:rsid w:val="00DE68E5"/>
    <w:rsid w:val="00DE6D34"/>
    <w:rsid w:val="00DF06CB"/>
    <w:rsid w:val="00DF4355"/>
    <w:rsid w:val="00DF50DE"/>
    <w:rsid w:val="00DF591C"/>
    <w:rsid w:val="00DF5CF1"/>
    <w:rsid w:val="00DF63CC"/>
    <w:rsid w:val="00DF710B"/>
    <w:rsid w:val="00E01996"/>
    <w:rsid w:val="00E022FE"/>
    <w:rsid w:val="00E060D5"/>
    <w:rsid w:val="00E108EA"/>
    <w:rsid w:val="00E13C20"/>
    <w:rsid w:val="00E14DEC"/>
    <w:rsid w:val="00E1626C"/>
    <w:rsid w:val="00E20C12"/>
    <w:rsid w:val="00E21ECF"/>
    <w:rsid w:val="00E223F0"/>
    <w:rsid w:val="00E259E4"/>
    <w:rsid w:val="00E26861"/>
    <w:rsid w:val="00E3390A"/>
    <w:rsid w:val="00E34DDE"/>
    <w:rsid w:val="00E401E2"/>
    <w:rsid w:val="00E43F8C"/>
    <w:rsid w:val="00E46FC6"/>
    <w:rsid w:val="00E50990"/>
    <w:rsid w:val="00E51B55"/>
    <w:rsid w:val="00E57618"/>
    <w:rsid w:val="00E60541"/>
    <w:rsid w:val="00E60FBB"/>
    <w:rsid w:val="00E64215"/>
    <w:rsid w:val="00E65D0F"/>
    <w:rsid w:val="00E66810"/>
    <w:rsid w:val="00E700DF"/>
    <w:rsid w:val="00E712BD"/>
    <w:rsid w:val="00E734BC"/>
    <w:rsid w:val="00E739D2"/>
    <w:rsid w:val="00E73A2D"/>
    <w:rsid w:val="00E7606A"/>
    <w:rsid w:val="00E76871"/>
    <w:rsid w:val="00E76D70"/>
    <w:rsid w:val="00E849B7"/>
    <w:rsid w:val="00E85A25"/>
    <w:rsid w:val="00EB17F2"/>
    <w:rsid w:val="00EB27CB"/>
    <w:rsid w:val="00EB41A0"/>
    <w:rsid w:val="00EB5E38"/>
    <w:rsid w:val="00EC395E"/>
    <w:rsid w:val="00EC5ACB"/>
    <w:rsid w:val="00ED0FEC"/>
    <w:rsid w:val="00ED38F6"/>
    <w:rsid w:val="00ED5594"/>
    <w:rsid w:val="00ED5652"/>
    <w:rsid w:val="00EE2506"/>
    <w:rsid w:val="00EE5EB4"/>
    <w:rsid w:val="00EE638F"/>
    <w:rsid w:val="00EE67FC"/>
    <w:rsid w:val="00F003CA"/>
    <w:rsid w:val="00F06C29"/>
    <w:rsid w:val="00F10A12"/>
    <w:rsid w:val="00F17F2F"/>
    <w:rsid w:val="00F23E19"/>
    <w:rsid w:val="00F241C4"/>
    <w:rsid w:val="00F246DA"/>
    <w:rsid w:val="00F25137"/>
    <w:rsid w:val="00F27D60"/>
    <w:rsid w:val="00F3159A"/>
    <w:rsid w:val="00F31C55"/>
    <w:rsid w:val="00F331AB"/>
    <w:rsid w:val="00F37D11"/>
    <w:rsid w:val="00F4226A"/>
    <w:rsid w:val="00F43935"/>
    <w:rsid w:val="00F4791B"/>
    <w:rsid w:val="00F536FD"/>
    <w:rsid w:val="00F5542E"/>
    <w:rsid w:val="00F57D27"/>
    <w:rsid w:val="00F6238A"/>
    <w:rsid w:val="00F6417C"/>
    <w:rsid w:val="00F66251"/>
    <w:rsid w:val="00F70B3C"/>
    <w:rsid w:val="00F70F51"/>
    <w:rsid w:val="00F71A3E"/>
    <w:rsid w:val="00F73614"/>
    <w:rsid w:val="00F753A6"/>
    <w:rsid w:val="00F753AF"/>
    <w:rsid w:val="00F85255"/>
    <w:rsid w:val="00F86DBE"/>
    <w:rsid w:val="00F92264"/>
    <w:rsid w:val="00F93D8C"/>
    <w:rsid w:val="00F94563"/>
    <w:rsid w:val="00F9502A"/>
    <w:rsid w:val="00F95477"/>
    <w:rsid w:val="00F95FBF"/>
    <w:rsid w:val="00F9672A"/>
    <w:rsid w:val="00F96FD2"/>
    <w:rsid w:val="00FA1585"/>
    <w:rsid w:val="00FA1BFB"/>
    <w:rsid w:val="00FA5142"/>
    <w:rsid w:val="00FA6C3A"/>
    <w:rsid w:val="00FA6DB6"/>
    <w:rsid w:val="00FA784F"/>
    <w:rsid w:val="00FB0300"/>
    <w:rsid w:val="00FB07CB"/>
    <w:rsid w:val="00FB3CF1"/>
    <w:rsid w:val="00FB5181"/>
    <w:rsid w:val="00FB6490"/>
    <w:rsid w:val="00FB7BFB"/>
    <w:rsid w:val="00FC0322"/>
    <w:rsid w:val="00FC1C01"/>
    <w:rsid w:val="00FC2981"/>
    <w:rsid w:val="00FC4798"/>
    <w:rsid w:val="00FC4FEC"/>
    <w:rsid w:val="00FC6CFC"/>
    <w:rsid w:val="00FD0B20"/>
    <w:rsid w:val="00FD1877"/>
    <w:rsid w:val="00FD1B3A"/>
    <w:rsid w:val="00FD2E24"/>
    <w:rsid w:val="00FD4AE4"/>
    <w:rsid w:val="00FD5966"/>
    <w:rsid w:val="00FD6E64"/>
    <w:rsid w:val="00FD78DF"/>
    <w:rsid w:val="00FD7D75"/>
    <w:rsid w:val="00FE51BB"/>
    <w:rsid w:val="00FE5265"/>
    <w:rsid w:val="00FE6705"/>
    <w:rsid w:val="00FE7E0B"/>
    <w:rsid w:val="00FF0486"/>
    <w:rsid w:val="00FF2C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D7984F"/>
  <w15:docId w15:val="{34C76990-F3C9-478D-BBEB-8742BB17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6C3F"/>
    <w:pPr>
      <w:spacing w:after="0" w:line="240" w:lineRule="auto"/>
    </w:pPr>
  </w:style>
  <w:style w:type="character" w:styleId="Hyperlink">
    <w:name w:val="Hyperlink"/>
    <w:basedOn w:val="DefaultParagraphFont"/>
    <w:uiPriority w:val="99"/>
    <w:unhideWhenUsed/>
    <w:rsid w:val="00C82647"/>
    <w:rPr>
      <w:color w:val="0000FF"/>
      <w:u w:val="single"/>
    </w:rPr>
  </w:style>
  <w:style w:type="character" w:customStyle="1" w:styleId="UnresolvedMention1">
    <w:name w:val="Unresolved Mention1"/>
    <w:basedOn w:val="DefaultParagraphFont"/>
    <w:uiPriority w:val="99"/>
    <w:semiHidden/>
    <w:unhideWhenUsed/>
    <w:rsid w:val="00C82647"/>
    <w:rPr>
      <w:color w:val="605E5C"/>
      <w:shd w:val="clear" w:color="auto" w:fill="E1DFDD"/>
    </w:rPr>
  </w:style>
  <w:style w:type="paragraph" w:styleId="Header">
    <w:name w:val="header"/>
    <w:basedOn w:val="Normal"/>
    <w:link w:val="HeaderChar"/>
    <w:uiPriority w:val="99"/>
    <w:unhideWhenUsed/>
    <w:rsid w:val="00086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A83"/>
  </w:style>
  <w:style w:type="paragraph" w:styleId="Footer">
    <w:name w:val="footer"/>
    <w:basedOn w:val="Normal"/>
    <w:link w:val="FooterChar"/>
    <w:uiPriority w:val="99"/>
    <w:unhideWhenUsed/>
    <w:rsid w:val="00086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A83"/>
  </w:style>
  <w:style w:type="character" w:styleId="CommentReference">
    <w:name w:val="annotation reference"/>
    <w:basedOn w:val="DefaultParagraphFont"/>
    <w:uiPriority w:val="99"/>
    <w:semiHidden/>
    <w:unhideWhenUsed/>
    <w:rsid w:val="007929EF"/>
    <w:rPr>
      <w:sz w:val="16"/>
      <w:szCs w:val="16"/>
    </w:rPr>
  </w:style>
  <w:style w:type="paragraph" w:styleId="CommentText">
    <w:name w:val="annotation text"/>
    <w:basedOn w:val="Normal"/>
    <w:link w:val="CommentTextChar"/>
    <w:uiPriority w:val="99"/>
    <w:unhideWhenUsed/>
    <w:rsid w:val="007929EF"/>
    <w:pPr>
      <w:spacing w:line="240" w:lineRule="auto"/>
    </w:pPr>
    <w:rPr>
      <w:sz w:val="20"/>
      <w:szCs w:val="20"/>
    </w:rPr>
  </w:style>
  <w:style w:type="character" w:customStyle="1" w:styleId="CommentTextChar">
    <w:name w:val="Comment Text Char"/>
    <w:basedOn w:val="DefaultParagraphFont"/>
    <w:link w:val="CommentText"/>
    <w:uiPriority w:val="99"/>
    <w:rsid w:val="007929EF"/>
    <w:rPr>
      <w:sz w:val="20"/>
      <w:szCs w:val="20"/>
    </w:rPr>
  </w:style>
  <w:style w:type="paragraph" w:styleId="CommentSubject">
    <w:name w:val="annotation subject"/>
    <w:basedOn w:val="CommentText"/>
    <w:next w:val="CommentText"/>
    <w:link w:val="CommentSubjectChar"/>
    <w:uiPriority w:val="99"/>
    <w:semiHidden/>
    <w:unhideWhenUsed/>
    <w:rsid w:val="007929EF"/>
    <w:rPr>
      <w:b/>
      <w:bCs/>
    </w:rPr>
  </w:style>
  <w:style w:type="character" w:customStyle="1" w:styleId="CommentSubjectChar">
    <w:name w:val="Comment Subject Char"/>
    <w:basedOn w:val="CommentTextChar"/>
    <w:link w:val="CommentSubject"/>
    <w:uiPriority w:val="99"/>
    <w:semiHidden/>
    <w:rsid w:val="007929EF"/>
    <w:rPr>
      <w:b/>
      <w:bCs/>
      <w:sz w:val="20"/>
      <w:szCs w:val="20"/>
    </w:rPr>
  </w:style>
  <w:style w:type="paragraph" w:styleId="ListParagraph">
    <w:name w:val="List Paragraph"/>
    <w:basedOn w:val="Normal"/>
    <w:uiPriority w:val="34"/>
    <w:qFormat/>
    <w:rsid w:val="007549B5"/>
    <w:pPr>
      <w:ind w:left="720"/>
      <w:contextualSpacing/>
    </w:pPr>
  </w:style>
  <w:style w:type="paragraph" w:styleId="Revision">
    <w:name w:val="Revision"/>
    <w:hidden/>
    <w:uiPriority w:val="99"/>
    <w:semiHidden/>
    <w:rsid w:val="00557AD3"/>
    <w:pPr>
      <w:spacing w:after="0" w:line="240" w:lineRule="auto"/>
    </w:pPr>
  </w:style>
  <w:style w:type="table" w:styleId="TableGrid">
    <w:name w:val="Table Grid"/>
    <w:basedOn w:val="TableNormal"/>
    <w:uiPriority w:val="39"/>
    <w:rsid w:val="00D3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D1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174B"/>
    <w:rPr>
      <w:sz w:val="20"/>
      <w:szCs w:val="20"/>
    </w:rPr>
  </w:style>
  <w:style w:type="character" w:styleId="FootnoteReference">
    <w:name w:val="footnote reference"/>
    <w:basedOn w:val="DefaultParagraphFont"/>
    <w:uiPriority w:val="99"/>
    <w:semiHidden/>
    <w:unhideWhenUsed/>
    <w:rsid w:val="00BD17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3800">
      <w:bodyDiv w:val="1"/>
      <w:marLeft w:val="0"/>
      <w:marRight w:val="0"/>
      <w:marTop w:val="0"/>
      <w:marBottom w:val="0"/>
      <w:divBdr>
        <w:top w:val="none" w:sz="0" w:space="0" w:color="auto"/>
        <w:left w:val="none" w:sz="0" w:space="0" w:color="auto"/>
        <w:bottom w:val="none" w:sz="0" w:space="0" w:color="auto"/>
        <w:right w:val="none" w:sz="0" w:space="0" w:color="auto"/>
      </w:divBdr>
    </w:div>
    <w:div w:id="234436271">
      <w:bodyDiv w:val="1"/>
      <w:marLeft w:val="0"/>
      <w:marRight w:val="0"/>
      <w:marTop w:val="0"/>
      <w:marBottom w:val="0"/>
      <w:divBdr>
        <w:top w:val="none" w:sz="0" w:space="0" w:color="auto"/>
        <w:left w:val="none" w:sz="0" w:space="0" w:color="auto"/>
        <w:bottom w:val="none" w:sz="0" w:space="0" w:color="auto"/>
        <w:right w:val="none" w:sz="0" w:space="0" w:color="auto"/>
      </w:divBdr>
    </w:div>
    <w:div w:id="271019623">
      <w:bodyDiv w:val="1"/>
      <w:marLeft w:val="0"/>
      <w:marRight w:val="0"/>
      <w:marTop w:val="0"/>
      <w:marBottom w:val="0"/>
      <w:divBdr>
        <w:top w:val="none" w:sz="0" w:space="0" w:color="auto"/>
        <w:left w:val="none" w:sz="0" w:space="0" w:color="auto"/>
        <w:bottom w:val="none" w:sz="0" w:space="0" w:color="auto"/>
        <w:right w:val="none" w:sz="0" w:space="0" w:color="auto"/>
      </w:divBdr>
    </w:div>
    <w:div w:id="497157815">
      <w:bodyDiv w:val="1"/>
      <w:marLeft w:val="0"/>
      <w:marRight w:val="0"/>
      <w:marTop w:val="0"/>
      <w:marBottom w:val="0"/>
      <w:divBdr>
        <w:top w:val="none" w:sz="0" w:space="0" w:color="auto"/>
        <w:left w:val="none" w:sz="0" w:space="0" w:color="auto"/>
        <w:bottom w:val="none" w:sz="0" w:space="0" w:color="auto"/>
        <w:right w:val="none" w:sz="0" w:space="0" w:color="auto"/>
      </w:divBdr>
    </w:div>
    <w:div w:id="788161327">
      <w:bodyDiv w:val="1"/>
      <w:marLeft w:val="0"/>
      <w:marRight w:val="0"/>
      <w:marTop w:val="0"/>
      <w:marBottom w:val="0"/>
      <w:divBdr>
        <w:top w:val="none" w:sz="0" w:space="0" w:color="auto"/>
        <w:left w:val="none" w:sz="0" w:space="0" w:color="auto"/>
        <w:bottom w:val="none" w:sz="0" w:space="0" w:color="auto"/>
        <w:right w:val="none" w:sz="0" w:space="0" w:color="auto"/>
      </w:divBdr>
    </w:div>
    <w:div w:id="916941922">
      <w:bodyDiv w:val="1"/>
      <w:marLeft w:val="0"/>
      <w:marRight w:val="0"/>
      <w:marTop w:val="0"/>
      <w:marBottom w:val="0"/>
      <w:divBdr>
        <w:top w:val="none" w:sz="0" w:space="0" w:color="auto"/>
        <w:left w:val="none" w:sz="0" w:space="0" w:color="auto"/>
        <w:bottom w:val="none" w:sz="0" w:space="0" w:color="auto"/>
        <w:right w:val="none" w:sz="0" w:space="0" w:color="auto"/>
      </w:divBdr>
    </w:div>
    <w:div w:id="933129886">
      <w:bodyDiv w:val="1"/>
      <w:marLeft w:val="0"/>
      <w:marRight w:val="0"/>
      <w:marTop w:val="0"/>
      <w:marBottom w:val="0"/>
      <w:divBdr>
        <w:top w:val="none" w:sz="0" w:space="0" w:color="auto"/>
        <w:left w:val="none" w:sz="0" w:space="0" w:color="auto"/>
        <w:bottom w:val="none" w:sz="0" w:space="0" w:color="auto"/>
        <w:right w:val="none" w:sz="0" w:space="0" w:color="auto"/>
      </w:divBdr>
    </w:div>
    <w:div w:id="1078015314">
      <w:bodyDiv w:val="1"/>
      <w:marLeft w:val="0"/>
      <w:marRight w:val="0"/>
      <w:marTop w:val="0"/>
      <w:marBottom w:val="0"/>
      <w:divBdr>
        <w:top w:val="none" w:sz="0" w:space="0" w:color="auto"/>
        <w:left w:val="none" w:sz="0" w:space="0" w:color="auto"/>
        <w:bottom w:val="none" w:sz="0" w:space="0" w:color="auto"/>
        <w:right w:val="none" w:sz="0" w:space="0" w:color="auto"/>
      </w:divBdr>
    </w:div>
    <w:div w:id="1157378276">
      <w:bodyDiv w:val="1"/>
      <w:marLeft w:val="0"/>
      <w:marRight w:val="0"/>
      <w:marTop w:val="0"/>
      <w:marBottom w:val="0"/>
      <w:divBdr>
        <w:top w:val="none" w:sz="0" w:space="0" w:color="auto"/>
        <w:left w:val="none" w:sz="0" w:space="0" w:color="auto"/>
        <w:bottom w:val="none" w:sz="0" w:space="0" w:color="auto"/>
        <w:right w:val="none" w:sz="0" w:space="0" w:color="auto"/>
      </w:divBdr>
    </w:div>
    <w:div w:id="1487741557">
      <w:bodyDiv w:val="1"/>
      <w:marLeft w:val="0"/>
      <w:marRight w:val="0"/>
      <w:marTop w:val="0"/>
      <w:marBottom w:val="0"/>
      <w:divBdr>
        <w:top w:val="none" w:sz="0" w:space="0" w:color="auto"/>
        <w:left w:val="none" w:sz="0" w:space="0" w:color="auto"/>
        <w:bottom w:val="none" w:sz="0" w:space="0" w:color="auto"/>
        <w:right w:val="none" w:sz="0" w:space="0" w:color="auto"/>
      </w:divBdr>
    </w:div>
    <w:div w:id="1558739901">
      <w:bodyDiv w:val="1"/>
      <w:marLeft w:val="0"/>
      <w:marRight w:val="0"/>
      <w:marTop w:val="0"/>
      <w:marBottom w:val="0"/>
      <w:divBdr>
        <w:top w:val="none" w:sz="0" w:space="0" w:color="auto"/>
        <w:left w:val="none" w:sz="0" w:space="0" w:color="auto"/>
        <w:bottom w:val="none" w:sz="0" w:space="0" w:color="auto"/>
        <w:right w:val="none" w:sz="0" w:space="0" w:color="auto"/>
      </w:divBdr>
    </w:div>
    <w:div w:id="1563759447">
      <w:bodyDiv w:val="1"/>
      <w:marLeft w:val="0"/>
      <w:marRight w:val="0"/>
      <w:marTop w:val="0"/>
      <w:marBottom w:val="0"/>
      <w:divBdr>
        <w:top w:val="none" w:sz="0" w:space="0" w:color="auto"/>
        <w:left w:val="none" w:sz="0" w:space="0" w:color="auto"/>
        <w:bottom w:val="none" w:sz="0" w:space="0" w:color="auto"/>
        <w:right w:val="none" w:sz="0" w:space="0" w:color="auto"/>
      </w:divBdr>
    </w:div>
    <w:div w:id="1667367853">
      <w:bodyDiv w:val="1"/>
      <w:marLeft w:val="0"/>
      <w:marRight w:val="0"/>
      <w:marTop w:val="0"/>
      <w:marBottom w:val="0"/>
      <w:divBdr>
        <w:top w:val="none" w:sz="0" w:space="0" w:color="auto"/>
        <w:left w:val="none" w:sz="0" w:space="0" w:color="auto"/>
        <w:bottom w:val="none" w:sz="0" w:space="0" w:color="auto"/>
        <w:right w:val="none" w:sz="0" w:space="0" w:color="auto"/>
      </w:divBdr>
    </w:div>
    <w:div w:id="1712267449">
      <w:bodyDiv w:val="1"/>
      <w:marLeft w:val="0"/>
      <w:marRight w:val="0"/>
      <w:marTop w:val="0"/>
      <w:marBottom w:val="0"/>
      <w:divBdr>
        <w:top w:val="none" w:sz="0" w:space="0" w:color="auto"/>
        <w:left w:val="none" w:sz="0" w:space="0" w:color="auto"/>
        <w:bottom w:val="none" w:sz="0" w:space="0" w:color="auto"/>
        <w:right w:val="none" w:sz="0" w:space="0" w:color="auto"/>
      </w:divBdr>
    </w:div>
    <w:div w:id="1748533228">
      <w:bodyDiv w:val="1"/>
      <w:marLeft w:val="0"/>
      <w:marRight w:val="0"/>
      <w:marTop w:val="0"/>
      <w:marBottom w:val="0"/>
      <w:divBdr>
        <w:top w:val="none" w:sz="0" w:space="0" w:color="auto"/>
        <w:left w:val="none" w:sz="0" w:space="0" w:color="auto"/>
        <w:bottom w:val="none" w:sz="0" w:space="0" w:color="auto"/>
        <w:right w:val="none" w:sz="0" w:space="0" w:color="auto"/>
      </w:divBdr>
    </w:div>
    <w:div w:id="1991206955">
      <w:bodyDiv w:val="1"/>
      <w:marLeft w:val="0"/>
      <w:marRight w:val="0"/>
      <w:marTop w:val="0"/>
      <w:marBottom w:val="0"/>
      <w:divBdr>
        <w:top w:val="none" w:sz="0" w:space="0" w:color="auto"/>
        <w:left w:val="none" w:sz="0" w:space="0" w:color="auto"/>
        <w:bottom w:val="none" w:sz="0" w:space="0" w:color="auto"/>
        <w:right w:val="none" w:sz="0" w:space="0" w:color="auto"/>
      </w:divBdr>
    </w:div>
    <w:div w:id="2048406055">
      <w:bodyDiv w:val="1"/>
      <w:marLeft w:val="0"/>
      <w:marRight w:val="0"/>
      <w:marTop w:val="0"/>
      <w:marBottom w:val="0"/>
      <w:divBdr>
        <w:top w:val="none" w:sz="0" w:space="0" w:color="auto"/>
        <w:left w:val="none" w:sz="0" w:space="0" w:color="auto"/>
        <w:bottom w:val="none" w:sz="0" w:space="0" w:color="auto"/>
        <w:right w:val="none" w:sz="0" w:space="0" w:color="auto"/>
      </w:divBdr>
    </w:div>
    <w:div w:id="2111310983">
      <w:bodyDiv w:val="1"/>
      <w:marLeft w:val="0"/>
      <w:marRight w:val="0"/>
      <w:marTop w:val="0"/>
      <w:marBottom w:val="0"/>
      <w:divBdr>
        <w:top w:val="none" w:sz="0" w:space="0" w:color="auto"/>
        <w:left w:val="none" w:sz="0" w:space="0" w:color="auto"/>
        <w:bottom w:val="none" w:sz="0" w:space="0" w:color="auto"/>
        <w:right w:val="none" w:sz="0" w:space="0" w:color="auto"/>
      </w:divBdr>
    </w:div>
    <w:div w:id="2117753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izensinc.com/" TargetMode="External"/><Relationship Id="rId5" Type="http://schemas.openxmlformats.org/officeDocument/2006/relationships/numbering" Target="numbering.xml"/><Relationship Id="rId15" Type="http://schemas.openxmlformats.org/officeDocument/2006/relationships/hyperlink" Target="mailto:CIA@gatewayir.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PMingLiU"/>
        <a:cs typeface=""/>
      </a:majorFont>
      <a:minorFont>
        <a:latin typeface="Calibri" panose="020F0502020204030204"/>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2CFD6FA541A04C8FBE7AC3F48C2240" ma:contentTypeVersion="14" ma:contentTypeDescription="Create a new document." ma:contentTypeScope="" ma:versionID="c6477279d0f013108883238155d3c511">
  <xsd:schema xmlns:xsd="http://www.w3.org/2001/XMLSchema" xmlns:xs="http://www.w3.org/2001/XMLSchema" xmlns:p="http://schemas.microsoft.com/office/2006/metadata/properties" xmlns:ns2="c30dd62f-9af7-45c4-807b-cd7347d7fe27" xmlns:ns3="ee767dc7-1f4c-4429-a8f1-f35649d11df6" targetNamespace="http://schemas.microsoft.com/office/2006/metadata/properties" ma:root="true" ma:fieldsID="b38120c7810f64c6bc18358ce742f7fa" ns2:_="" ns3:_="">
    <xsd:import namespace="c30dd62f-9af7-45c4-807b-cd7347d7fe27"/>
    <xsd:import namespace="ee767dc7-1f4c-4429-a8f1-f35649d11d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dd62f-9af7-45c4-807b-cd7347d7f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f2cf6a-606c-4029-87b9-0277450ef28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67dc7-1f4c-4429-a8f1-f35649d11d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b76a81d-37ed-4e07-82e2-1e8eb0ef8059}" ma:internalName="TaxCatchAll" ma:showField="CatchAllData" ma:web="ee767dc7-1f4c-4429-a8f1-f35649d11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e767dc7-1f4c-4429-a8f1-f35649d11df6" xsi:nil="true"/>
    <lcf76f155ced4ddcb4097134ff3c332f xmlns="c30dd62f-9af7-45c4-807b-cd7347d7fe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D7D1C9-DFFE-4B55-B61C-A212D3E6947F}">
  <ds:schemaRefs>
    <ds:schemaRef ds:uri="http://schemas.microsoft.com/sharepoint/v3/contenttype/forms"/>
  </ds:schemaRefs>
</ds:datastoreItem>
</file>

<file path=customXml/itemProps2.xml><?xml version="1.0" encoding="utf-8"?>
<ds:datastoreItem xmlns:ds="http://schemas.openxmlformats.org/officeDocument/2006/customXml" ds:itemID="{A569BEA2-63EA-4460-9396-050DBBC04BC8}">
  <ds:schemaRefs>
    <ds:schemaRef ds:uri="http://schemas.openxmlformats.org/officeDocument/2006/bibliography"/>
  </ds:schemaRefs>
</ds:datastoreItem>
</file>

<file path=customXml/itemProps3.xml><?xml version="1.0" encoding="utf-8"?>
<ds:datastoreItem xmlns:ds="http://schemas.openxmlformats.org/officeDocument/2006/customXml" ds:itemID="{210CF8A6-AAC2-427A-925A-F7E9A17C5B27}"/>
</file>

<file path=customXml/itemProps4.xml><?xml version="1.0" encoding="utf-8"?>
<ds:datastoreItem xmlns:ds="http://schemas.openxmlformats.org/officeDocument/2006/customXml" ds:itemID="{D5662FA8-1454-46E1-B91D-D211B0B1DD54}">
  <ds:schemaRefs>
    <ds:schemaRef ds:uri="http://schemas.microsoft.com/office/2006/metadata/properties"/>
    <ds:schemaRef ds:uri="http://schemas.microsoft.com/office/infopath/2007/PartnerControls"/>
    <ds:schemaRef ds:uri="19b9ac98-cf94-4930-ae88-04c9e00ce8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976</Words>
  <Characters>5926</Characters>
  <Application>Microsoft Office Word</Application>
  <DocSecurity>4</DocSecurity>
  <Lines>296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Hausch</dc:creator>
  <cp:keywords/>
  <dc:description/>
  <cp:lastModifiedBy>Jennifer Sweetland</cp:lastModifiedBy>
  <cp:revision>2</cp:revision>
  <cp:lastPrinted>2023-03-15T16:41:00Z</cp:lastPrinted>
  <dcterms:created xsi:type="dcterms:W3CDTF">2023-03-22T15:33:00Z</dcterms:created>
  <dcterms:modified xsi:type="dcterms:W3CDTF">2023-03-22T15:33:00Z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0x010100072CFD6FA541A04C8FBE7AC3F48C2240</vt:lpwstr>
  </property>
</Properties>
</file>